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5</w:t>
      </w:r>
    </w:p>
    <w:p>
      <w:pPr>
        <w:pStyle w:val="Subtitle"/>
        <w:jc w:val="center"/>
      </w:pPr>
      <w:r>
        <w:t>DEATH REIGNS • “AND HE DIED” • ENOCH WALKS WITH GOD</w:t>
      </w:r>
    </w:p>
    <w:p>
      <w:pPr>
        <w:jc w:val="center"/>
      </w:pPr>
      <w:r>
        <w:rPr>
          <w:i/>
          <w:sz w:val="18"/>
        </w:rPr>
        <w:t>H. P. Mansfield Bible notes — checked and arranged in verse-by-verse Expositor style</w:t>
      </w:r>
    </w:p>
    <w:p>
      <w:pPr>
        <w:jc w:val="center"/>
      </w:pPr>
      <w:r>
        <w:rPr>
          <w:sz w:val="16"/>
        </w:rPr>
        <w:t>Source: HPB 01-Gen01-Gen41.PDF, Genesis 5 and adjacent genealogical notes</w:t>
      </w:r>
    </w:p>
    <w:p>
      <w:pPr>
        <w:pStyle w:val="Heading1"/>
      </w:pPr>
      <w:r>
        <w:t>CHAPTER OVERVIEW</w:t>
      </w:r>
    </w:p>
    <w:p>
      <w:r>
        <w:t>Mansfield heads the page “CHAPTER 5 — The genealogy” and treats it as a further division of the Book of Beginnings. His major heading is “DESCENDANTS OF ADAM IN NINE GENERATIONS.”</w:t>
      </w:r>
    </w:p>
    <w:p>
      <w:r>
        <w:t>Across the chapter stands the repeated verdict “AND HE DIED.” Mansfield calls this the theme-song of mortality: even extraordinary antediluvian longevity cannot overcome the sentence imposed in Eden. Enoch is the great exception, deliberately placed in the genealogy as a witness that the dominion of death can be defeated.</w:t>
      </w:r>
    </w:p>
    <w:p>
      <w:r>
        <w:t>The published Expositor calls this section “THE BOOK OF THE GENERATIONS OF ADAM — The Development of the Human Race: Sin and Death Triumphant,” and contrasts it with Matthew 1:1, “The book of the generation of Jesus Christ”: the first record is a book of death; the second points to life.</w:t>
      </w:r>
    </w:p>
    <w:p>
      <w:pPr>
        <w:pStyle w:val="Heading2"/>
      </w:pPr>
      <w:r>
        <w:t>Genesis 5:1 — “This is the book of the generations of Adam”</w:t>
      </w:r>
    </w:p>
    <w:p>
      <w:r>
        <w:t>“This is the book,” “Adam,” and “likeness of God” are marked. The heading is “ADAM — THE EARTHY.” First Corinthians 15:47 is cited to contrast the first Adam, “of the earth, earthy,” with the later heavenly man. The genealogy displays the consequences of the likeness marred by sin.</w:t>
      </w:r>
    </w:p>
    <w:p>
      <w:pPr>
        <w:pStyle w:val="Heading2"/>
      </w:pPr>
      <w:r>
        <w:t>Genesis 5:2 — “Male and female created he them... and called their name Adam”</w:t>
      </w:r>
    </w:p>
    <w:p>
      <w:r>
        <w:t>“Male and female,” “blessed them,” and “called their name Adam” are marked. Mansfield notes that God named Adam whereas Adam named the animals. Jeremiah 10:23 is cited nearby to underline that man does not independently direct his own way. The common name Adam embraces both male and female within the one human family.</w:t>
      </w:r>
    </w:p>
    <w:p>
      <w:pPr>
        <w:pStyle w:val="Heading2"/>
      </w:pPr>
      <w:r>
        <w:t>Genesis 5:3 — “a son in his own likeness, after his image”</w:t>
      </w:r>
    </w:p>
    <w:p>
      <w:r>
        <w:t>“His own likeness” and “after his image” are strongly marked. Mansfield contrasts Genesis 1:26–27 with this verse: Adam was made in God’s image and likeness, but Seth is now begotten in Adam’s likeness after the Fall. The altered human condition is therefore transmitted through the line.</w:t>
      </w:r>
    </w:p>
    <w:p>
      <w:pPr>
        <w:pStyle w:val="Heading2"/>
      </w:pPr>
      <w:r>
        <w:t>Genesis 5:4</w:t>
      </w:r>
    </w:p>
    <w:p>
      <w:r>
        <w:t>Adam’s remaining years and his sons and daughters are recorded. Mansfield’s emphasis is that even a lifespan of centuries cannot alter the final verdict.</w:t>
      </w:r>
    </w:p>
    <w:p>
      <w:pPr>
        <w:pStyle w:val="Heading2"/>
      </w:pPr>
      <w:r>
        <w:t>Genesis 5:5 — “and he died”</w:t>
      </w:r>
    </w:p>
    <w:p>
      <w:r>
        <w:t>“AND HE DIED” is boxed and becomes the refrain of the chapter. Mansfield treats it as the direct outworking of Genesis 3:19. His Expositor notes that even Methuselah failed to attain a millennium.</w:t>
      </w:r>
    </w:p>
    <w:p>
      <w:pPr>
        <w:pStyle w:val="Heading2"/>
      </w:pPr>
      <w:r>
        <w:t>Genesis 5:6 — “Seth... begat Enos”</w:t>
      </w:r>
    </w:p>
    <w:p>
      <w:r>
        <w:t>The heading is “SETH — THE APPOINTED.” Seth continues the line appointed to replace Abel and associated with the divine purpose, rather than the line of Cain.</w:t>
      </w:r>
    </w:p>
    <w:p>
      <w:pPr>
        <w:pStyle w:val="Heading2"/>
      </w:pPr>
      <w:r>
        <w:t>Genesis 5:7</w:t>
      </w:r>
    </w:p>
    <w:p>
      <w:r>
        <w:t>Seth’s long life and other children maintain the genealogical continuity. No separate major HPB exposition is attached to this verse.</w:t>
      </w:r>
    </w:p>
    <w:p>
      <w:pPr>
        <w:pStyle w:val="Heading2"/>
      </w:pPr>
      <w:r>
        <w:t>Genesis 5:8 — “and he died”</w:t>
      </w:r>
    </w:p>
    <w:p>
      <w:r>
        <w:t>The refrain is again boxed, reinforcing Mansfield’s mortality theme.</w:t>
      </w:r>
    </w:p>
    <w:p>
      <w:pPr>
        <w:pStyle w:val="Heading2"/>
      </w:pPr>
      <w:r>
        <w:t>Genesis 5:9 — “Enos”</w:t>
      </w:r>
    </w:p>
    <w:p>
      <w:r>
        <w:t>The heading is “ENOS — THE WEAK — vv. 9–11.” Mansfield gives Enos the sense weak, frail or mortal man and sees the name as reflecting deterioration in the spiritual condition of the age.</w:t>
      </w:r>
    </w:p>
    <w:p>
      <w:pPr>
        <w:pStyle w:val="Heading2"/>
      </w:pPr>
      <w:r>
        <w:t>Genesis 5:10</w:t>
      </w:r>
    </w:p>
    <w:p>
      <w:r>
        <w:t>The genealogy continues without a distinct verse-specific marginal exposition.</w:t>
      </w:r>
    </w:p>
    <w:p>
      <w:pPr>
        <w:pStyle w:val="Heading2"/>
      </w:pPr>
      <w:r>
        <w:t>Genesis 5:11 — “and he died”</w:t>
      </w:r>
    </w:p>
    <w:p>
      <w:r>
        <w:t>The death refrain is again strongly marked.</w:t>
      </w:r>
    </w:p>
    <w:p>
      <w:pPr>
        <w:pStyle w:val="Heading2"/>
      </w:pPr>
      <w:r>
        <w:t>Genesis 5:12 — “Cainan”</w:t>
      </w:r>
    </w:p>
    <w:p>
      <w:r>
        <w:t>The heading is “CAINAN — THE GAINER — vv. 12–14.” Mansfield’s published Expositor confirms that he gives Cainan the sense “Gainer” and interprets the name as suggesting the reappearance of materialistic tendencies within the Sethite line — “the way of Cain” influencing the seed of the woman.</w:t>
      </w:r>
    </w:p>
    <w:p>
      <w:r>
        <w:t>The HPB contains an additional root-note apparently involving ideas of acquisition, building or occupation; because the exact handwritten Hebrew form is not recoverable with confidence and Mansfield’s published chapter does not reproduce it, that extra lexical chain remains unresolved.</w:t>
      </w:r>
    </w:p>
    <w:p>
      <w:pPr>
        <w:pStyle w:val="Heading2"/>
      </w:pPr>
      <w:r>
        <w:t>Genesis 5:13</w:t>
      </w:r>
    </w:p>
    <w:p>
      <w:r>
        <w:t>Cainan’s descendants are recorded; Mansfield’s note continues the thematic significance attached to his name.</w:t>
      </w:r>
    </w:p>
    <w:p>
      <w:pPr>
        <w:pStyle w:val="Heading2"/>
      </w:pPr>
      <w:r>
        <w:t>Genesis 5:14 — “and he died”</w:t>
      </w:r>
    </w:p>
    <w:p>
      <w:r>
        <w:t>The chapter’s refrain is again boxed.</w:t>
      </w:r>
    </w:p>
    <w:p>
      <w:pPr>
        <w:pStyle w:val="Heading2"/>
      </w:pPr>
      <w:r>
        <w:t>Genesis 5:15 — “Mahalaleel”</w:t>
      </w:r>
    </w:p>
    <w:p>
      <w:r>
        <w:t>The heading is “MAHALALEEL — THE PRAISER — vv. 15–17.” Mansfield gives the name the sense “Praise of El,” associated with halal, to praise. The surviving HPB wording suggests an emphasis on praise or worship in the family line, though part of the explanatory sentence remains obscured.</w:t>
      </w:r>
    </w:p>
    <w:p>
      <w:pPr>
        <w:pStyle w:val="Heading2"/>
      </w:pPr>
      <w:r>
        <w:t>Genesis 5:16</w:t>
      </w:r>
    </w:p>
    <w:p>
      <w:r>
        <w:t>The genealogy continues without a separate major note.</w:t>
      </w:r>
    </w:p>
    <w:p>
      <w:pPr>
        <w:pStyle w:val="Heading2"/>
      </w:pPr>
      <w:r>
        <w:t>Genesis 5:17 — “and he died”</w:t>
      </w:r>
    </w:p>
    <w:p>
      <w:r>
        <w:t>The mortality refrain appears again.</w:t>
      </w:r>
    </w:p>
    <w:p>
      <w:pPr>
        <w:pStyle w:val="Heading2"/>
      </w:pPr>
      <w:r>
        <w:t>Genesis 5:18 — “Jared... begat Enoch”</w:t>
      </w:r>
    </w:p>
    <w:p>
      <w:r>
        <w:t>The heading is “JARED — THE DECLINER — vv. 18–20.” Jared is linked with descent or decline. Mansfield uses Jude 14–16 to describe increasing ungodliness and spiritual deterioration in the world into which Enoch would speak.</w:t>
      </w:r>
    </w:p>
    <w:p>
      <w:pPr>
        <w:pStyle w:val="Heading2"/>
      </w:pPr>
      <w:r>
        <w:t>Genesis 5:19</w:t>
      </w:r>
    </w:p>
    <w:p>
      <w:r>
        <w:t>Jared’s family line continues. Mansfield keeps attention on the larger decline of the age rather than on a separate verse detail.</w:t>
      </w:r>
    </w:p>
    <w:p>
      <w:pPr>
        <w:pStyle w:val="Heading2"/>
      </w:pPr>
      <w:r>
        <w:t>Genesis 5:20 — “and he died”</w:t>
      </w:r>
    </w:p>
    <w:p>
      <w:r>
        <w:t>The repeated verdict of death is again marked.</w:t>
      </w:r>
    </w:p>
    <w:p>
      <w:pPr>
        <w:pStyle w:val="Heading2"/>
      </w:pPr>
      <w:r>
        <w:t>Genesis 5:21 — “Enoch... begat Methuselah”</w:t>
      </w:r>
    </w:p>
    <w:p>
      <w:r>
        <w:t>The heading is “ENOCH — THE DEDICATED — vv. 21–24.” Mansfield’s published Expositor gives Enoch the sense “Dedicated or Teacher.” He sees Enoch living amid an increasing imitation of Cainite ways and deliberately separating himself to God by faith.</w:t>
      </w:r>
    </w:p>
    <w:p>
      <w:r>
        <w:t>Hebrews 11:5–6, 2 Corinthians 5:7 and Psalm 25:14 are among the references used to describe Enoch’s faith and the revelation of God’s purpose to him.</w:t>
      </w:r>
    </w:p>
    <w:p>
      <w:pPr>
        <w:pStyle w:val="Heading2"/>
      </w:pPr>
      <w:r>
        <w:t>Genesis 5:22 — “Enoch walked with God”</w:t>
      </w:r>
    </w:p>
    <w:p>
      <w:r>
        <w:t>“Walked with God” is heavily underlined. Mansfield’s obscured grammatical comment can be recovered from his Expositor: Yithhalak is described as a hithpael form expressing what one does for oneself. His practical conclusion is that Enoch “set himself” with determination to walk with God.</w:t>
      </w:r>
    </w:p>
    <w:p>
      <w:r>
        <w:t>The fellowship is unfolded through New Testament parallels: God is light — walk in light (1 John 1:5, 7); God is love — walk in love (1 John 4:16; Ephesians 5:2); God is truth — walk in truth (1 John 5:20); God is life — walk in the way of life (1 John 5:11). Hebrews 11:5 and Micah 6:8 reinforce the same deliberate walk.</w:t>
      </w:r>
    </w:p>
    <w:p>
      <w:pPr>
        <w:pStyle w:val="Heading2"/>
      </w:pPr>
      <w:r>
        <w:t>Genesis 5:23 — “three hundred sixty and five years”</w:t>
      </w:r>
    </w:p>
    <w:p>
      <w:r>
        <w:t>“Three hundred sixty and five years” is marked. Mansfield compares Enoch’s 365 years with a completed solar year and, in the published Expositor, with the shining “Sun of righteousness” of Malachi 4:2.</w:t>
      </w:r>
    </w:p>
    <w:p>
      <w:r>
        <w:t>He notes the striking proximity between Adam’s death and Enoch’s translation: one publicly demonstrated mortality; the other dramatically witnessed to the hope of life.</w:t>
      </w:r>
    </w:p>
    <w:p>
      <w:pPr>
        <w:pStyle w:val="Heading2"/>
      </w:pPr>
      <w:r>
        <w:t>Genesis 5:24 — “Enoch walked with God: and he was not; for God took him”</w:t>
      </w:r>
    </w:p>
    <w:p>
      <w:r>
        <w:t>“Walked with God,” “he was not,” and “God took him” are strongly marked. Hebrews 11:5 explains the event as translation so that Enoch should not see death.</w:t>
      </w:r>
    </w:p>
    <w:p>
      <w:r>
        <w:t>Mansfield treats Enoch as the chapter’s deliberate exception to “and he died.” Enoch walked by faith, believing the impending judgment, his own translation, the coming of the promised seed, and the establishment of God’s rule. Jude 14–16 and Hebrews 11:5–6 are central to this interpretation.</w:t>
      </w:r>
    </w:p>
    <w:p>
      <w:r>
        <w:t>Against the rising tide of ungodliness, violence, materialism and imitation of Cainite society, Enoch’s life becomes a witness that divine fellowship is possible even in a declining age.</w:t>
      </w:r>
    </w:p>
    <w:p>
      <w:pPr>
        <w:pStyle w:val="Heading2"/>
      </w:pPr>
      <w:r>
        <w:t>Genesis 5:25 — “Methuselah”</w:t>
      </w:r>
    </w:p>
    <w:p>
      <w:r>
        <w:t>The heading is “METHUSELAH — THE WARNING — vv. 25–27.” Mansfield uses the traditional prophetic interpretation of the name as a combination represented in his Expositor as mat, “he dieth,” and shelah, “he sendeth out / it shall be sent,” giving the thought: “When he dieth, it shall be sent.”</w:t>
      </w:r>
    </w:p>
    <w:p>
      <w:r>
        <w:t>Mansfield relates this specifically to the Flood, noting that Methuselah died in the year of the judgment. This is preserved as Mansfield’s intended interpretation; it should not be mistaken for a claim that this traditional etymology is linguistically uncontested.</w:t>
      </w:r>
    </w:p>
    <w:p>
      <w:pPr>
        <w:pStyle w:val="Heading2"/>
      </w:pPr>
      <w:r>
        <w:t>Genesis 5:26</w:t>
      </w:r>
    </w:p>
    <w:p>
      <w:r>
        <w:t>Methuselah’s exceptionally long life continues. Mansfield stresses that longevity itself is not the measure of spiritual worth.</w:t>
      </w:r>
    </w:p>
    <w:p>
      <w:pPr>
        <w:pStyle w:val="Heading2"/>
      </w:pPr>
      <w:r>
        <w:t>Genesis 5:27 — “nine hundred sixty and nine years: and he died”</w:t>
      </w:r>
    </w:p>
    <w:p>
      <w:r>
        <w:t>The age 969 and “and he died” are heavily marked. Mansfield’s lesson is explicit: the oldest recorded lifespan still ends in death. Quality of life, not mere duration, is what matters.</w:t>
      </w:r>
    </w:p>
    <w:p>
      <w:pPr>
        <w:pStyle w:val="Heading2"/>
      </w:pPr>
      <w:r>
        <w:t>Genesis 5:28 — “Lamech”</w:t>
      </w:r>
    </w:p>
    <w:p>
      <w:r>
        <w:t>The heading is “LAMECH — THE RESCUED” in the HPB, while Mansfield’s published Expositor gives the name-theme “LAMECH — THE REDUCED.” He distinguishes this Sethite Lamech from the violent Lamech of Cain’s line.</w:t>
      </w:r>
    </w:p>
    <w:p>
      <w:r>
        <w:t>The Expositor explains “Reduced” through the comparatively shortened lifespan and contrasts it with the Cainite Lamech as a “Reducer” of others. This published wording resolves the sense intended by Mansfield even though the HPB heading uses the related idea “rescued.”</w:t>
      </w:r>
    </w:p>
    <w:p>
      <w:pPr>
        <w:pStyle w:val="Heading2"/>
      </w:pPr>
      <w:r>
        <w:t>Genesis 5:29 — “This same shall comfort us...”</w:t>
      </w:r>
    </w:p>
    <w:p>
      <w:r>
        <w:t>“Noah,” “comfort us,” “work and toil of our hands,” “ground,” and “the LORD hath cursed” are marked. Noah’s name is connected with rest or comfort.</w:t>
      </w:r>
    </w:p>
    <w:p>
      <w:r>
        <w:t>Mansfield reads Lamech’s words as Messianic hope: a prayer or expectation that Noah would be related to the promised seed through whom the curse would ultimately be removed.</w:t>
      </w:r>
    </w:p>
    <w:p>
      <w:pPr>
        <w:pStyle w:val="Heading2"/>
      </w:pPr>
      <w:r>
        <w:t>Genesis 5:30</w:t>
      </w:r>
    </w:p>
    <w:p>
      <w:r>
        <w:t>Lamech continues after Noah’s birth and has sons and daughters. The HPB contains no separate major exposition beyond the approaching Flood context.</w:t>
      </w:r>
    </w:p>
    <w:p>
      <w:pPr>
        <w:pStyle w:val="Heading2"/>
      </w:pPr>
      <w:r>
        <w:t>Genesis 5:31 — “seven hundred seventy and seven years: and he died”</w:t>
      </w:r>
    </w:p>
    <w:p>
      <w:r>
        <w:t>“Seven hundred seventy and seven years” and “and he died” are marked. The previously obscured symbolic comment is recovered from Mansfield’s Expositor: he treats 777 as emphasising the completeness of the covenant proclaimed by Yahweh.</w:t>
      </w:r>
    </w:p>
    <w:p>
      <w:r>
        <w:t>Lamech dies before the Flood, yet in the context of hope associated with Noah and the promised deliverance.</w:t>
      </w:r>
    </w:p>
    <w:p>
      <w:pPr>
        <w:pStyle w:val="Heading2"/>
      </w:pPr>
      <w:r>
        <w:t>Genesis 5:32 — “Noah was five hundred years old...”</w:t>
      </w:r>
    </w:p>
    <w:p>
      <w:r>
        <w:t>The heading is “NOAH — PEACE WITH GOD — v. 32.” Mansfield associates Noah with rest, comfort and peace in the context of coming divine judgment.</w:t>
      </w:r>
    </w:p>
    <w:p>
      <w:r>
        <w:t>The margin anticipates the next chapter: God’s longsuffering waited (1 Peter 3:20); Noah was warned of God and moved with godly fear (Hebrews 11:7); he became a preacher of righteousness (2 Peter 2:5). Matthew 24 and Luke 17 connect the days of Noah with the conditions preceding Christ’s return.</w:t>
      </w:r>
    </w:p>
    <w:p>
      <w:pPr>
        <w:pStyle w:val="Heading1"/>
      </w:pPr>
      <w:r>
        <w:t>MANSFIELD’S CHRONOLOGY NOTE</w:t>
      </w:r>
    </w:p>
    <w:p>
      <w:r>
        <w:t>A compact handwritten chronology traces Adam through Methuselah, Lamech and Noah. Mansfield notes especially that Enoch was translated before Seth died and that Methuselah lived into the very year of the Flood.</w:t>
      </w:r>
    </w:p>
    <w:p>
      <w:r>
        <w:t>The individual small figures in the photographed table are retained only where clearly legible. They have not been silently normalised from an external chronology, because the purpose here is to preserve Mansfield’s own annotated Bible rather than substitute a reconstructed timeline.</w:t>
      </w:r>
    </w:p>
    <w:p>
      <w:pPr>
        <w:pStyle w:val="Heading1"/>
      </w:pPr>
      <w:r>
        <w:t>PRINCIPAL THEMES</w:t>
      </w:r>
    </w:p>
    <w:p>
      <w:pPr>
        <w:spacing w:after="52"/>
      </w:pPr>
      <w:r>
        <w:rPr>
          <w:b/>
        </w:rPr>
        <w:t xml:space="preserve">“And he died”. </w:t>
      </w:r>
      <w:r>
        <w:t>Death is the relentless refrain of Adam’s fallen line.</w:t>
      </w:r>
    </w:p>
    <w:p>
      <w:pPr>
        <w:spacing w:after="52"/>
      </w:pPr>
      <w:r>
        <w:rPr>
          <w:b/>
        </w:rPr>
        <w:t xml:space="preserve">Longevity and mortality. </w:t>
      </w:r>
      <w:r>
        <w:t>Centuries of life do not remove the sentence of death.</w:t>
      </w:r>
    </w:p>
    <w:p>
      <w:pPr>
        <w:spacing w:after="52"/>
      </w:pPr>
      <w:r>
        <w:rPr>
          <w:b/>
        </w:rPr>
        <w:t xml:space="preserve">Adam’s likeness. </w:t>
      </w:r>
      <w:r>
        <w:t>Seth is begotten in Adam’s likeness after the Fall, marking the altered human condition.</w:t>
      </w:r>
    </w:p>
    <w:p>
      <w:pPr>
        <w:spacing w:after="52"/>
      </w:pPr>
      <w:r>
        <w:rPr>
          <w:b/>
        </w:rPr>
        <w:t xml:space="preserve">Names as spiritual commentary. </w:t>
      </w:r>
      <w:r>
        <w:t>Mansfield reads the names as a sequence of appointed, weak, gain, praise, decline, dedication, warning, reduction and rest.</w:t>
      </w:r>
    </w:p>
    <w:p>
      <w:pPr>
        <w:spacing w:after="52"/>
      </w:pPr>
      <w:r>
        <w:rPr>
          <w:b/>
        </w:rPr>
        <w:t xml:space="preserve">Enoch breaks the refrain. </w:t>
      </w:r>
      <w:r>
        <w:t>His translation is the deliberate sign that death’s dominion can be overcome.</w:t>
      </w:r>
    </w:p>
    <w:p>
      <w:pPr>
        <w:spacing w:after="52"/>
      </w:pPr>
      <w:r>
        <w:rPr>
          <w:b/>
        </w:rPr>
        <w:t xml:space="preserve">Walking with God. </w:t>
      </w:r>
      <w:r>
        <w:t>Fellowship is deliberate and sustained, expressed in light, love, truth and life.</w:t>
      </w:r>
    </w:p>
    <w:p>
      <w:pPr>
        <w:spacing w:after="52"/>
      </w:pPr>
      <w:r>
        <w:rPr>
          <w:b/>
        </w:rPr>
        <w:t xml:space="preserve">Faith in the unseen. </w:t>
      </w:r>
      <w:r>
        <w:t>Enoch believes judgment, translation, Messiah and Kingdom.</w:t>
      </w:r>
    </w:p>
    <w:p>
      <w:pPr>
        <w:spacing w:after="52"/>
      </w:pPr>
      <w:r>
        <w:rPr>
          <w:b/>
        </w:rPr>
        <w:t xml:space="preserve">Growing apostasy. </w:t>
      </w:r>
      <w:r>
        <w:t>The age of Jared and Enoch is read through Jude’s picture of increasing ungodliness.</w:t>
      </w:r>
    </w:p>
    <w:p>
      <w:pPr>
        <w:spacing w:after="52"/>
      </w:pPr>
      <w:r>
        <w:rPr>
          <w:b/>
        </w:rPr>
        <w:t xml:space="preserve">Warning before judgment. </w:t>
      </w:r>
      <w:r>
        <w:t>Methuselah and Noah stand in a chronology moving toward the Flood.</w:t>
      </w:r>
    </w:p>
    <w:p>
      <w:pPr>
        <w:spacing w:after="52"/>
      </w:pPr>
      <w:r>
        <w:rPr>
          <w:b/>
        </w:rPr>
        <w:t xml:space="preserve">Hope in the promised seed. </w:t>
      </w:r>
      <w:r>
        <w:t>Lamech’s naming of Noah expresses expectation of relief from the curse.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408"/>
        <w:gridCol w:w="3408"/>
        <w:gridCol w:w="3408"/>
      </w:tblGrid>
      <w:tr>
        <w:tc>
          <w:tcPr>
            <w:tcW w:type="dxa" w:w="3408"/>
          </w:tcPr>
          <w:p>
            <w:pPr>
              <w:spacing w:after="0"/>
            </w:pPr>
            <w:r>
              <w:rPr>
                <w:rFonts w:ascii="Times New Roman" w:hAnsi="Times New Roman"/>
                <w:b/>
                <w:sz w:val="16"/>
              </w:rPr>
              <w:t>Location</w:t>
            </w:r>
          </w:p>
        </w:tc>
        <w:tc>
          <w:tcPr>
            <w:tcW w:type="dxa" w:w="3408"/>
          </w:tcPr>
          <w:p>
            <w:pPr>
              <w:spacing w:after="0"/>
            </w:pPr>
            <w:r>
              <w:rPr>
                <w:rFonts w:ascii="Times New Roman" w:hAnsi="Times New Roman"/>
                <w:b/>
                <w:sz w:val="16"/>
              </w:rPr>
              <w:t>Checked / corrected reading</w:t>
            </w:r>
          </w:p>
        </w:tc>
        <w:tc>
          <w:tcPr>
            <w:tcW w:type="dxa" w:w="3408"/>
          </w:tcPr>
          <w:p>
            <w:pPr>
              <w:spacing w:after="0"/>
            </w:pPr>
            <w:r>
              <w:rPr>
                <w:rFonts w:ascii="Times New Roman" w:hAnsi="Times New Roman"/>
                <w:b/>
                <w:sz w:val="16"/>
              </w:rPr>
              <w:t>Basis</w:t>
            </w:r>
          </w:p>
        </w:tc>
      </w:tr>
      <w:tr>
        <w:tc>
          <w:tcPr>
            <w:tcW w:type="dxa" w:w="3408"/>
            <w:vAlign w:val="top"/>
          </w:tcPr>
          <w:p>
            <w:pPr>
              <w:spacing w:after="0"/>
            </w:pPr>
            <w:r>
              <w:rPr>
                <w:rFonts w:ascii="Times New Roman" w:hAnsi="Times New Roman"/>
                <w:sz w:val="16"/>
              </w:rPr>
              <w:t>Gen. 5:1</w:t>
            </w:r>
          </w:p>
        </w:tc>
        <w:tc>
          <w:tcPr>
            <w:tcW w:type="dxa" w:w="3408"/>
            <w:vAlign w:val="top"/>
          </w:tcPr>
          <w:p>
            <w:pPr>
              <w:spacing w:after="0"/>
            </w:pPr>
            <w:r>
              <w:rPr>
                <w:rFonts w:ascii="Times New Roman" w:hAnsi="Times New Roman"/>
                <w:sz w:val="16"/>
              </w:rPr>
              <w:t>1 Corinthians 15:47</w:t>
            </w:r>
          </w:p>
        </w:tc>
        <w:tc>
          <w:tcPr>
            <w:tcW w:type="dxa" w:w="3408"/>
            <w:vAlign w:val="top"/>
          </w:tcPr>
          <w:p>
            <w:pPr>
              <w:spacing w:after="0"/>
            </w:pPr>
            <w:r>
              <w:rPr>
                <w:rFonts w:ascii="Times New Roman" w:hAnsi="Times New Roman"/>
                <w:sz w:val="16"/>
              </w:rPr>
              <w:t>Reference checked: first man “of the earth, earthy.”</w:t>
            </w:r>
          </w:p>
        </w:tc>
      </w:tr>
      <w:tr>
        <w:tc>
          <w:tcPr>
            <w:tcW w:type="dxa" w:w="3408"/>
            <w:vAlign w:val="top"/>
          </w:tcPr>
          <w:p>
            <w:pPr>
              <w:spacing w:after="0"/>
            </w:pPr>
            <w:r>
              <w:rPr>
                <w:rFonts w:ascii="Times New Roman" w:hAnsi="Times New Roman"/>
                <w:sz w:val="16"/>
              </w:rPr>
              <w:t>Gen. 5:12</w:t>
            </w:r>
          </w:p>
        </w:tc>
        <w:tc>
          <w:tcPr>
            <w:tcW w:type="dxa" w:w="3408"/>
            <w:vAlign w:val="top"/>
          </w:tcPr>
          <w:p>
            <w:pPr>
              <w:spacing w:after="0"/>
            </w:pPr>
            <w:r>
              <w:rPr>
                <w:rFonts w:ascii="Times New Roman" w:hAnsi="Times New Roman"/>
                <w:sz w:val="16"/>
              </w:rPr>
              <w:t>Cainan — “Gainer”</w:t>
            </w:r>
          </w:p>
        </w:tc>
        <w:tc>
          <w:tcPr>
            <w:tcW w:type="dxa" w:w="3408"/>
            <w:vAlign w:val="top"/>
          </w:tcPr>
          <w:p>
            <w:pPr>
              <w:spacing w:after="0"/>
            </w:pPr>
            <w:r>
              <w:rPr>
                <w:rFonts w:ascii="Times New Roman" w:hAnsi="Times New Roman"/>
                <w:sz w:val="16"/>
              </w:rPr>
              <w:t>Confirmed by Mansfield’s published Expositor; additional HPB root-chain remains uncertain.</w:t>
            </w:r>
          </w:p>
        </w:tc>
      </w:tr>
      <w:tr>
        <w:tc>
          <w:tcPr>
            <w:tcW w:type="dxa" w:w="3408"/>
            <w:vAlign w:val="top"/>
          </w:tcPr>
          <w:p>
            <w:pPr>
              <w:spacing w:after="0"/>
            </w:pPr>
            <w:r>
              <w:rPr>
                <w:rFonts w:ascii="Times New Roman" w:hAnsi="Times New Roman"/>
                <w:sz w:val="16"/>
              </w:rPr>
              <w:t>Gen. 5:15</w:t>
            </w:r>
          </w:p>
        </w:tc>
        <w:tc>
          <w:tcPr>
            <w:tcW w:type="dxa" w:w="3408"/>
            <w:vAlign w:val="top"/>
          </w:tcPr>
          <w:p>
            <w:pPr>
              <w:spacing w:after="0"/>
            </w:pPr>
            <w:r>
              <w:rPr>
                <w:rFonts w:ascii="Times New Roman" w:hAnsi="Times New Roman"/>
                <w:sz w:val="16"/>
              </w:rPr>
              <w:t>Mahalaleel — “Praise of El”</w:t>
            </w:r>
          </w:p>
        </w:tc>
        <w:tc>
          <w:tcPr>
            <w:tcW w:type="dxa" w:w="3408"/>
            <w:vAlign w:val="top"/>
          </w:tcPr>
          <w:p>
            <w:pPr>
              <w:spacing w:after="0"/>
            </w:pPr>
            <w:r>
              <w:rPr>
                <w:rFonts w:ascii="Times New Roman" w:hAnsi="Times New Roman"/>
                <w:sz w:val="16"/>
              </w:rPr>
              <w:t>Confirmed by Mansfield’s published Expositor and inserted name-summary.</w:t>
            </w:r>
          </w:p>
        </w:tc>
      </w:tr>
      <w:tr>
        <w:tc>
          <w:tcPr>
            <w:tcW w:type="dxa" w:w="3408"/>
            <w:vAlign w:val="top"/>
          </w:tcPr>
          <w:p>
            <w:pPr>
              <w:spacing w:after="0"/>
            </w:pPr>
            <w:r>
              <w:rPr>
                <w:rFonts w:ascii="Times New Roman" w:hAnsi="Times New Roman"/>
                <w:sz w:val="16"/>
              </w:rPr>
              <w:t>Gen. 5:18</w:t>
            </w:r>
          </w:p>
        </w:tc>
        <w:tc>
          <w:tcPr>
            <w:tcW w:type="dxa" w:w="3408"/>
            <w:vAlign w:val="top"/>
          </w:tcPr>
          <w:p>
            <w:pPr>
              <w:spacing w:after="0"/>
            </w:pPr>
            <w:r>
              <w:rPr>
                <w:rFonts w:ascii="Times New Roman" w:hAnsi="Times New Roman"/>
                <w:sz w:val="16"/>
              </w:rPr>
              <w:t>Jared — “Decline”</w:t>
            </w:r>
          </w:p>
        </w:tc>
        <w:tc>
          <w:tcPr>
            <w:tcW w:type="dxa" w:w="3408"/>
            <w:vAlign w:val="top"/>
          </w:tcPr>
          <w:p>
            <w:pPr>
              <w:spacing w:after="0"/>
            </w:pPr>
            <w:r>
              <w:rPr>
                <w:rFonts w:ascii="Times New Roman" w:hAnsi="Times New Roman"/>
                <w:sz w:val="16"/>
              </w:rPr>
              <w:t>Confirmed by Mansfield’s published Expositor; Jude 14–16 is the accompanying moral context.</w:t>
            </w:r>
          </w:p>
        </w:tc>
      </w:tr>
      <w:tr>
        <w:tc>
          <w:tcPr>
            <w:tcW w:type="dxa" w:w="3408"/>
            <w:vAlign w:val="top"/>
          </w:tcPr>
          <w:p>
            <w:pPr>
              <w:spacing w:after="0"/>
            </w:pPr>
            <w:r>
              <w:rPr>
                <w:rFonts w:ascii="Times New Roman" w:hAnsi="Times New Roman"/>
                <w:sz w:val="16"/>
              </w:rPr>
              <w:t>Gen. 5:21–22</w:t>
            </w:r>
          </w:p>
        </w:tc>
        <w:tc>
          <w:tcPr>
            <w:tcW w:type="dxa" w:w="3408"/>
            <w:vAlign w:val="top"/>
          </w:tcPr>
          <w:p>
            <w:pPr>
              <w:spacing w:after="0"/>
            </w:pPr>
            <w:r>
              <w:rPr>
                <w:rFonts w:ascii="Times New Roman" w:hAnsi="Times New Roman"/>
                <w:sz w:val="16"/>
              </w:rPr>
              <w:t>Enoch — “Dedicated”; Yithhalak, hithpael</w:t>
            </w:r>
          </w:p>
        </w:tc>
        <w:tc>
          <w:tcPr>
            <w:tcW w:type="dxa" w:w="3408"/>
            <w:vAlign w:val="top"/>
          </w:tcPr>
          <w:p>
            <w:pPr>
              <w:spacing w:after="0"/>
            </w:pPr>
            <w:r>
              <w:rPr>
                <w:rFonts w:ascii="Times New Roman" w:hAnsi="Times New Roman"/>
                <w:sz w:val="16"/>
              </w:rPr>
              <w:t>Mansfield’s published Expositor explicitly recovers the obscured grammatical note.</w:t>
            </w:r>
          </w:p>
        </w:tc>
      </w:tr>
      <w:tr>
        <w:tc>
          <w:tcPr>
            <w:tcW w:type="dxa" w:w="3408"/>
            <w:vAlign w:val="top"/>
          </w:tcPr>
          <w:p>
            <w:pPr>
              <w:spacing w:after="0"/>
            </w:pPr>
            <w:r>
              <w:rPr>
                <w:rFonts w:ascii="Times New Roman" w:hAnsi="Times New Roman"/>
                <w:sz w:val="16"/>
              </w:rPr>
              <w:t>Gen. 5:22</w:t>
            </w:r>
          </w:p>
        </w:tc>
        <w:tc>
          <w:tcPr>
            <w:tcW w:type="dxa" w:w="3408"/>
            <w:vAlign w:val="top"/>
          </w:tcPr>
          <w:p>
            <w:pPr>
              <w:spacing w:after="0"/>
            </w:pPr>
            <w:r>
              <w:rPr>
                <w:rFonts w:ascii="Times New Roman" w:hAnsi="Times New Roman"/>
                <w:sz w:val="16"/>
              </w:rPr>
              <w:t>1 John 1:5,7; 4:16; 5:20; 5:11; Eph. 5:2</w:t>
            </w:r>
          </w:p>
        </w:tc>
        <w:tc>
          <w:tcPr>
            <w:tcW w:type="dxa" w:w="3408"/>
            <w:vAlign w:val="top"/>
          </w:tcPr>
          <w:p>
            <w:pPr>
              <w:spacing w:after="0"/>
            </w:pPr>
            <w:r>
              <w:rPr>
                <w:rFonts w:ascii="Times New Roman" w:hAnsi="Times New Roman"/>
                <w:sz w:val="16"/>
              </w:rPr>
              <w:t>References checked against Mansfield’s published sequence: light, love, truth and life.</w:t>
            </w:r>
          </w:p>
        </w:tc>
      </w:tr>
      <w:tr>
        <w:tc>
          <w:tcPr>
            <w:tcW w:type="dxa" w:w="3408"/>
            <w:vAlign w:val="top"/>
          </w:tcPr>
          <w:p>
            <w:pPr>
              <w:spacing w:after="0"/>
            </w:pPr>
            <w:r>
              <w:rPr>
                <w:rFonts w:ascii="Times New Roman" w:hAnsi="Times New Roman"/>
                <w:sz w:val="16"/>
              </w:rPr>
              <w:t>Gen. 5:23</w:t>
            </w:r>
          </w:p>
        </w:tc>
        <w:tc>
          <w:tcPr>
            <w:tcW w:type="dxa" w:w="3408"/>
            <w:vAlign w:val="top"/>
          </w:tcPr>
          <w:p>
            <w:pPr>
              <w:spacing w:after="0"/>
            </w:pPr>
            <w:r>
              <w:rPr>
                <w:rFonts w:ascii="Times New Roman" w:hAnsi="Times New Roman"/>
                <w:sz w:val="16"/>
              </w:rPr>
              <w:t>365 years / Malachi 4:2</w:t>
            </w:r>
          </w:p>
        </w:tc>
        <w:tc>
          <w:tcPr>
            <w:tcW w:type="dxa" w:w="3408"/>
            <w:vAlign w:val="top"/>
          </w:tcPr>
          <w:p>
            <w:pPr>
              <w:spacing w:after="0"/>
            </w:pPr>
            <w:r>
              <w:rPr>
                <w:rFonts w:ascii="Times New Roman" w:hAnsi="Times New Roman"/>
                <w:sz w:val="16"/>
              </w:rPr>
              <w:t>Published Mansfield Expositor confirms the solar-year / shining-sun symbolism.</w:t>
            </w:r>
          </w:p>
        </w:tc>
      </w:tr>
      <w:tr>
        <w:tc>
          <w:tcPr>
            <w:tcW w:type="dxa" w:w="3408"/>
            <w:vAlign w:val="top"/>
          </w:tcPr>
          <w:p>
            <w:pPr>
              <w:spacing w:after="0"/>
            </w:pPr>
            <w:r>
              <w:rPr>
                <w:rFonts w:ascii="Times New Roman" w:hAnsi="Times New Roman"/>
                <w:sz w:val="16"/>
              </w:rPr>
              <w:t>Gen. 5:25</w:t>
            </w:r>
          </w:p>
        </w:tc>
        <w:tc>
          <w:tcPr>
            <w:tcW w:type="dxa" w:w="3408"/>
            <w:vAlign w:val="top"/>
          </w:tcPr>
          <w:p>
            <w:pPr>
              <w:spacing w:after="0"/>
            </w:pPr>
            <w:r>
              <w:rPr>
                <w:rFonts w:ascii="Times New Roman" w:hAnsi="Times New Roman"/>
                <w:sz w:val="16"/>
              </w:rPr>
              <w:t>mat + shelah → “When he dieth, it shall be sent”</w:t>
            </w:r>
          </w:p>
        </w:tc>
        <w:tc>
          <w:tcPr>
            <w:tcW w:type="dxa" w:w="3408"/>
            <w:vAlign w:val="top"/>
          </w:tcPr>
          <w:p>
            <w:pPr>
              <w:spacing w:after="0"/>
            </w:pPr>
            <w:r>
              <w:rPr>
                <w:rFonts w:ascii="Times New Roman" w:hAnsi="Times New Roman"/>
                <w:sz w:val="16"/>
              </w:rPr>
              <w:t>Mansfield’s traditional prophetic interpretation, confirmed as his intended reading.</w:t>
            </w:r>
          </w:p>
        </w:tc>
      </w:tr>
      <w:tr>
        <w:tc>
          <w:tcPr>
            <w:tcW w:type="dxa" w:w="3408"/>
            <w:vAlign w:val="top"/>
          </w:tcPr>
          <w:p>
            <w:pPr>
              <w:spacing w:after="0"/>
            </w:pPr>
            <w:r>
              <w:rPr>
                <w:rFonts w:ascii="Times New Roman" w:hAnsi="Times New Roman"/>
                <w:sz w:val="16"/>
              </w:rPr>
              <w:t>Gen. 5:28</w:t>
            </w:r>
          </w:p>
        </w:tc>
        <w:tc>
          <w:tcPr>
            <w:tcW w:type="dxa" w:w="3408"/>
            <w:vAlign w:val="top"/>
          </w:tcPr>
          <w:p>
            <w:pPr>
              <w:spacing w:after="0"/>
            </w:pPr>
            <w:r>
              <w:rPr>
                <w:rFonts w:ascii="Times New Roman" w:hAnsi="Times New Roman"/>
                <w:sz w:val="16"/>
              </w:rPr>
              <w:t>Lamech — “Reduced”</w:t>
            </w:r>
          </w:p>
        </w:tc>
        <w:tc>
          <w:tcPr>
            <w:tcW w:type="dxa" w:w="3408"/>
            <w:vAlign w:val="top"/>
          </w:tcPr>
          <w:p>
            <w:pPr>
              <w:spacing w:after="0"/>
            </w:pPr>
            <w:r>
              <w:rPr>
                <w:rFonts w:ascii="Times New Roman" w:hAnsi="Times New Roman"/>
                <w:sz w:val="16"/>
              </w:rPr>
              <w:t>Published Expositor resolves the HPB’s partially differing/obscured heading.</w:t>
            </w:r>
          </w:p>
        </w:tc>
      </w:tr>
      <w:tr>
        <w:tc>
          <w:tcPr>
            <w:tcW w:type="dxa" w:w="3408"/>
            <w:vAlign w:val="top"/>
          </w:tcPr>
          <w:p>
            <w:pPr>
              <w:spacing w:after="0"/>
            </w:pPr>
            <w:r>
              <w:rPr>
                <w:rFonts w:ascii="Times New Roman" w:hAnsi="Times New Roman"/>
                <w:sz w:val="16"/>
              </w:rPr>
              <w:t>Gen. 5:31</w:t>
            </w:r>
          </w:p>
        </w:tc>
        <w:tc>
          <w:tcPr>
            <w:tcW w:type="dxa" w:w="3408"/>
            <w:vAlign w:val="top"/>
          </w:tcPr>
          <w:p>
            <w:pPr>
              <w:spacing w:after="0"/>
            </w:pPr>
            <w:r>
              <w:rPr>
                <w:rFonts w:ascii="Times New Roman" w:hAnsi="Times New Roman"/>
                <w:sz w:val="16"/>
              </w:rPr>
              <w:t>777 — completeness of the covenant</w:t>
            </w:r>
          </w:p>
        </w:tc>
        <w:tc>
          <w:tcPr>
            <w:tcW w:type="dxa" w:w="3408"/>
            <w:vAlign w:val="top"/>
          </w:tcPr>
          <w:p>
            <w:pPr>
              <w:spacing w:after="0"/>
            </w:pPr>
            <w:r>
              <w:rPr>
                <w:rFonts w:ascii="Times New Roman" w:hAnsi="Times New Roman"/>
                <w:sz w:val="16"/>
              </w:rPr>
              <w:t>Recovers Mansfield’s previously obscured symbolic explanation.</w:t>
            </w:r>
          </w:p>
        </w:tc>
      </w:tr>
      <w:tr>
        <w:tc>
          <w:tcPr>
            <w:tcW w:type="dxa" w:w="3408"/>
            <w:vAlign w:val="top"/>
          </w:tcPr>
          <w:p>
            <w:pPr>
              <w:spacing w:after="0"/>
            </w:pPr>
            <w:r>
              <w:rPr>
                <w:rFonts w:ascii="Times New Roman" w:hAnsi="Times New Roman"/>
                <w:sz w:val="16"/>
              </w:rPr>
              <w:t>Gen. 5:32</w:t>
            </w:r>
          </w:p>
        </w:tc>
        <w:tc>
          <w:tcPr>
            <w:tcW w:type="dxa" w:w="3408"/>
            <w:vAlign w:val="top"/>
          </w:tcPr>
          <w:p>
            <w:pPr>
              <w:spacing w:after="0"/>
            </w:pPr>
            <w:r>
              <w:rPr>
                <w:rFonts w:ascii="Times New Roman" w:hAnsi="Times New Roman"/>
                <w:sz w:val="16"/>
              </w:rPr>
              <w:t>1 Pet. 3:20; Heb. 11:7; 2 Pet. 2:5</w:t>
            </w:r>
          </w:p>
        </w:tc>
        <w:tc>
          <w:tcPr>
            <w:tcW w:type="dxa" w:w="3408"/>
            <w:vAlign w:val="top"/>
          </w:tcPr>
          <w:p>
            <w:pPr>
              <w:spacing w:after="0"/>
            </w:pPr>
            <w:r>
              <w:rPr>
                <w:rFonts w:ascii="Times New Roman" w:hAnsi="Times New Roman"/>
                <w:sz w:val="16"/>
              </w:rPr>
              <w:t>References checked: longsuffering, warning/godly fear, preacher of righteousness.</w:t>
            </w:r>
          </w:p>
        </w:tc>
      </w:tr>
    </w:tbl>
    <w:p>
      <w:pPr>
        <w:pStyle w:val="Heading1"/>
      </w:pPr>
      <w:r>
        <w:t>RESIDUAL UNCERTAINTIES</w:t>
      </w:r>
    </w:p>
    <w:p>
      <w:pPr>
        <w:pStyle w:val="ListBullet"/>
        <w:spacing w:after="30"/>
      </w:pPr>
      <w:r>
        <w:t>the exact Hebrew/root spelling in the additional Cainan marginal note;</w:t>
      </w:r>
    </w:p>
    <w:p>
      <w:pPr>
        <w:pStyle w:val="ListBullet"/>
        <w:spacing w:after="30"/>
      </w:pPr>
      <w:r>
        <w:t>part of the Mahalaleel explanatory paragraph;</w:t>
      </w:r>
    </w:p>
    <w:p>
      <w:pPr>
        <w:pStyle w:val="ListBullet"/>
        <w:spacing w:after="30"/>
      </w:pPr>
      <w:r>
        <w:t>several words in the lower Enoch paragraph describing conditions among the Cainites;</w:t>
      </w:r>
    </w:p>
    <w:p>
      <w:pPr>
        <w:pStyle w:val="ListBullet"/>
        <w:spacing w:after="30"/>
      </w:pPr>
      <w:r>
        <w:t>some individual figures in Mansfield’s compact handwritten chronology table.</w:t>
      </w:r>
    </w:p>
    <w:p>
      <w:pPr>
        <w:keepNext w:val="0"/>
        <w:spacing w:after="30"/>
      </w:pPr>
      <w:r>
        <w:t>The traditional Methuselah interpretation and the 777 symbolism are no longer unreadable: Mansfield’s published Expositor establishes what he intended. They are preserved as Mansfield’s interpretations, not silently promoted into independent lexical or chronological claims.</w:t>
      </w:r>
    </w:p>
    <w:sectPr w:rsidR="00FC693F" w:rsidRPr="0006063C" w:rsidSect="00034616">
      <w:headerReference w:type="default" r:id="rId9"/>
      <w:footerReference w:type="default" r:id="rId10"/>
      <w:pgSz w:w="12240" w:h="15840"/>
      <w:pgMar w:top="835"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2" w:line="245"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Times New Roman" w:hAnsi="Times New Roman" w:eastAsia="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40" w:after="50"/>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