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GENESIS 8</w:t>
      </w:r>
    </w:p>
    <w:p>
      <w:pPr>
        <w:pStyle w:val="Subtitle"/>
        <w:jc w:val="center"/>
      </w:pPr>
      <w:r>
        <w:t>THE FLOOD RECEDES • A CLEANSED WORLD • A NEW BEGINNING</w:t>
      </w:r>
    </w:p>
    <w:p>
      <w:pPr>
        <w:jc w:val="center"/>
      </w:pPr>
      <w:r>
        <w:rPr>
          <w:i/>
          <w:sz w:val="18"/>
        </w:rPr>
        <w:t>H. P. Mansfield Bible notes — checked and arranged in verse-by-verse Expositor style</w:t>
      </w:r>
    </w:p>
    <w:p>
      <w:pPr>
        <w:jc w:val="center"/>
      </w:pPr>
      <w:r>
        <w:rPr>
          <w:sz w:val="16"/>
        </w:rPr>
        <w:t>Source: HPB 01-Gen01-Gen41.PDF, principally Genesis 8 photographed page</w:t>
      </w:r>
    </w:p>
    <w:p>
      <w:pPr>
        <w:pStyle w:val="Heading1"/>
      </w:pPr>
      <w:r>
        <w:t>CHAPTER OVERVIEW</w:t>
      </w:r>
    </w:p>
    <w:p>
      <w:r>
        <w:t>Mansfield heads the chapter “THE FLOOD RECEDES.” A detailed chronology across the upper margin follows the forty days of rain, the 150 days in which the waters prevailed, the resting of the ark, the appearance of mountain tops, the raven and successive dove missions, the drying of the earth, and Noah’s departure. A separate note highlights “THE EIGHT SAVED!”</w:t>
      </w:r>
    </w:p>
    <w:p>
      <w:r>
        <w:t>The movement is from judgment to restoration. The ark rests before the world is visibly restored; Noah receives a series of signs, but does not leave until God commands him. His first recorded act on the cleansed earth is worship.</w:t>
      </w:r>
    </w:p>
    <w:p>
      <w:pPr>
        <w:pStyle w:val="Heading2"/>
      </w:pPr>
      <w:r>
        <w:t>Genesis 8:1 — “God remembered Noah”</w:t>
      </w:r>
    </w:p>
    <w:p>
      <w:r>
        <w:t>“God remembered Noah,” the living creatures, and the wind over the earth are marked. The Hebrew zakar means “to mark so as to recognise,” hence to remember. Mansfield stresses that this does not imply forgetfulness: God “remembers” when He marks a person or covenant for action.</w:t>
      </w:r>
    </w:p>
    <w:p>
      <w:r>
        <w:t>Mansfield compares God remembering Abraham (Genesis 19:29), Rachel (Genesis 30:22), and His covenant with Israel (Exodus 2:24), and points forward to covenant remembrance in Genesis 9:15. The wind is ruach, “spirit/wind,” deliberately recalling Genesis 1:2: as the Spirit acted over the original waters, so a drying wind now assists the restoration of the earth.</w:t>
      </w:r>
    </w:p>
    <w:p>
      <w:pPr>
        <w:pStyle w:val="Heading2"/>
      </w:pPr>
      <w:r>
        <w:t>Genesis 8:2</w:t>
      </w:r>
    </w:p>
    <w:p>
      <w:r>
        <w:t>“Fountains ... stopped,” “windows of heaven were restrained,” and the rain being restrained are marked. The same God who released the Flood now deliberately terminates it. Mansfield compares the cessation of the convulsions with the future physical upheavals associated with Christ’s return (Zechariah 14:4; Isaiah 2:21).</w:t>
      </w:r>
    </w:p>
    <w:p>
      <w:pPr>
        <w:pStyle w:val="Heading2"/>
      </w:pPr>
      <w:r>
        <w:t>Genesis 8:3 — “the waters returned from off the earth continually”</w:t>
      </w:r>
    </w:p>
    <w:p>
      <w:r>
        <w:t>The marginal Hebrew is recovered as the idiom “going and returning.” Mansfield pictures the violent waters gradually settling as wind, drainage and the ending of seismic upheaval restore comparative calm. “Abated” is chacer, meaning to lack, fail, lessen or decrease; Rotherham renders it “decreased.”</w:t>
      </w:r>
    </w:p>
    <w:p>
      <w:r>
        <w:t>The 150 days are treated as five lunar months of thirty days each, tying the verse into Mansfield’s careful Flood chronology.</w:t>
      </w:r>
    </w:p>
    <w:p>
      <w:pPr>
        <w:pStyle w:val="Heading2"/>
      </w:pPr>
      <w:r>
        <w:t>Genesis 8:4 — “the ark rested”</w:t>
      </w:r>
    </w:p>
    <w:p>
      <w:r>
        <w:t>“The ark rested” and “mountains of Ararat” are prominently marked. Mansfield calculates that, since the waters stood fifteen cubits above the highest covered terrain (Genesis 7:20) and the ark was thirty cubits high, it may have drawn about fifteen cubits of water. Its resting is the first of his seven signs that judgment is ending.</w:t>
      </w:r>
    </w:p>
    <w:p>
      <w:r>
        <w:t>The repeated seventh-month/seventeenth-day detail is treated covenantally. Mansfield also observes that after the later change to Israel’s calendar (Exodus 12:2), this month became Abib, inviting Passover and resurrection associations.</w:t>
      </w:r>
    </w:p>
    <w:p>
      <w:pPr>
        <w:pStyle w:val="Heading2"/>
      </w:pPr>
      <w:r>
        <w:t>Genesis 8:5</w:t>
      </w:r>
    </w:p>
    <w:p>
      <w:r>
        <w:t>The continual decrease of the waters and the appearance of mountain tops are marked. This is Mansfield’s second sign: visible evidence follows the earlier unseen resting of the ark. He compares this with faith resting on the unseen Rock before fulfilment becomes visible (Hebrews 6:19–20; 11:1).</w:t>
      </w:r>
    </w:p>
    <w:p>
      <w:pPr>
        <w:pStyle w:val="Heading2"/>
      </w:pPr>
      <w:r>
        <w:t>Genesis 8:6 — “Noah opened the window of the ark”</w:t>
      </w:r>
    </w:p>
    <w:p>
      <w:r>
        <w:t>“At the end of forty days” and the opening of the window are marked. The previously uncertain word is challon, a small aperture. Mansfield explicitly distinguishes it from tsohar, the lighting/opening term in Genesis 6:16.</w:t>
      </w:r>
    </w:p>
    <w:p>
      <w:pPr>
        <w:pStyle w:val="Heading2"/>
      </w:pPr>
      <w:r>
        <w:t>Genesis 8:7 — “he sent forth a raven”</w:t>
      </w:r>
    </w:p>
    <w:p>
      <w:r>
        <w:t>The raven is marked as an unclean bird. It goes “to and fro” while the waters remain. Mansfield uses it in contrast with the dove: the raven can find satisfaction amid a still-defiled environment, whereas the dove seeks a clean resting place.</w:t>
      </w:r>
    </w:p>
    <w:p>
      <w:pPr>
        <w:pStyle w:val="Heading2"/>
      </w:pPr>
      <w:r>
        <w:t>Genesis 8:8 — “he sent forth a dove”</w:t>
      </w:r>
    </w:p>
    <w:p>
      <w:r>
        <w:t>The dove is strongly marked and contrasted with the raven. Mansfield treats it as clean, gentle, peace-associated and symbolically connected with Israel. The bird tests whether the renewed earth is ready for habitation.</w:t>
      </w:r>
    </w:p>
    <w:p>
      <w:pPr>
        <w:pStyle w:val="Heading2"/>
      </w:pPr>
      <w:r>
        <w:t>Genesis 8:9 — “the dove found no rest for the sole of her foot”</w:t>
      </w:r>
    </w:p>
    <w:p>
      <w:r>
        <w:t>The lack of rest and Noah receiving the dove back into the ark are marked. Mansfield’s national application can be made more precise from his published Expositor: the dove is used as a symbol of Israel, and her temporary lack of rest therefore supplies an analogy with Israel among the nations. The HPB wording itself remains partly obscured.</w:t>
      </w:r>
    </w:p>
    <w:p>
      <w:pPr>
        <w:pStyle w:val="Heading2"/>
      </w:pPr>
      <w:r>
        <w:t>Genesis 8:10</w:t>
      </w:r>
    </w:p>
    <w:p>
      <w:r>
        <w:t>Noah waits another seven days and sends the dove again. Mansfield marks the recurring seven-day intervals as covenant periods within an ordered chronology, not random delays.</w:t>
      </w:r>
    </w:p>
    <w:p>
      <w:pPr>
        <w:pStyle w:val="Heading2"/>
      </w:pPr>
      <w:r>
        <w:t>Genesis 8:11 — “an olive leaf pluckt off”</w:t>
      </w:r>
    </w:p>
    <w:p>
      <w:r>
        <w:t>The olive leaf is heavily marked. Mansfield treats the evening return as the beginning of a new epoch: in biblical reckoning the day begins at evening. The olive leaf is a pledge that judgment is passing and fruitfulness is returning.</w:t>
      </w:r>
    </w:p>
    <w:p>
      <w:r>
        <w:t>The symbolic references can now be recovered: the olive and dove both suggest peace; the dove is associated with Israel (Hosea 14:6), while the wild olive represents Gentiles (Romans 11:17). Mansfield connects the picture with the “Israel of God” gathered in peace (Galatians 6:16; Ephesians 2:11–14) at the opening of a new day (Malachi 4:1–2).</w:t>
      </w:r>
    </w:p>
    <w:p>
      <w:pPr>
        <w:pStyle w:val="Heading2"/>
      </w:pPr>
      <w:r>
        <w:t>Genesis 8:12</w:t>
      </w:r>
    </w:p>
    <w:p>
      <w:r>
        <w:t>After another seven days the dove is sent out and does not return. Mansfield’s published wording supplies the concise interpretation: “She went forth to her inheritance.” This is the sixth of his seven restoration signs.</w:t>
      </w:r>
    </w:p>
    <w:p>
      <w:pPr>
        <w:pStyle w:val="Heading2"/>
      </w:pPr>
      <w:r>
        <w:t>Genesis 8:13 — “the waters were dried up”</w:t>
      </w:r>
    </w:p>
    <w:p>
      <w:r>
        <w:t>The margin heading is “THE FLOOD OVER.” The first day of Noah’s 601st year marks both a new year and a new beginning. Mansfield compares other first-day acts of renewal: setting up the Tabernacle (Exodus 40:2), Hezekiah’s Temple sanctification (2 Chronicles 29:17), Ezra’s departure from Babylon (Ezra 7:9), the completion of the separation from foreign wives (Ezra 10:17), and the future Temple cleansing (Ezekiel 45:18).</w:t>
      </w:r>
    </w:p>
    <w:p>
      <w:r>
        <w:t>The Hebrew verb here is charebu: the surface or “face” of the ground was dry. Noah can see the change, but the deeper drying required before departure is not yet complete.</w:t>
      </w:r>
    </w:p>
    <w:p>
      <w:pPr>
        <w:pStyle w:val="Heading2"/>
      </w:pPr>
      <w:r>
        <w:t>Genesis 8:14 — “was the earth dried”</w:t>
      </w:r>
    </w:p>
    <w:p>
      <w:r>
        <w:t>The second month, twenty-seventh day completes Mansfield’s chronology. From Genesis 7:11 to this date is one year and ten days. At thirty days per month it totals 370 days; Mansfield notes that an alternating 29/30-day Jewish reckoning would make it approximately 365 days, while questioning whether that later calendar convention should be imposed on the original account.</w:t>
      </w:r>
    </w:p>
    <w:p>
      <w:r>
        <w:t>The Hebrew here is yabeshah, which Mansfield contrasts with charebu in verse 13: the earth is now completely dried out. The distinction explains why Noah waits a further 56 days after first seeing dry ground.</w:t>
      </w:r>
    </w:p>
    <w:p>
      <w:pPr>
        <w:pStyle w:val="Heading2"/>
      </w:pPr>
      <w:r>
        <w:t>Genesis 8:15–16 — “Go forth of the ark”</w:t>
      </w:r>
    </w:p>
    <w:p>
      <w:r>
        <w:t>“God spake unto Noah” and “Go forth of the ark” are marked under “EXIT FROM THE ARK.” Noah does not leave on the basis of appearances alone. He waits for the command of the God who had told him to enter.</w:t>
      </w:r>
    </w:p>
    <w:p>
      <w:pPr>
        <w:pStyle w:val="Heading2"/>
      </w:pPr>
      <w:r>
        <w:t>Genesis 8:17</w:t>
      </w:r>
    </w:p>
    <w:p>
      <w:r>
        <w:t>“Bring forth with thee every living thing,” “breed abundantly,” “be fruitful,” and “multiply” are marked. The language deliberately echoes creation. A cleansed world becomes the sphere of renewed life, and Mansfield extends the pattern toward the enlarged life of the Kingdom after divine judgment.</w:t>
      </w:r>
    </w:p>
    <w:p>
      <w:pPr>
        <w:pStyle w:val="Heading2"/>
      </w:pPr>
      <w:r>
        <w:t>Genesis 8:18–19</w:t>
      </w:r>
    </w:p>
    <w:p>
      <w:r>
        <w:t>Noah, his household and the living creatures leave in ordered groups. Mansfield notes the significance of eight survivors (compare 1 Peter 3:20): the cramped refuge of judgment gives way to a renewed earth, but only after the complete work of preservation has been accomplished.</w:t>
      </w:r>
    </w:p>
    <w:p>
      <w:pPr>
        <w:pStyle w:val="Heading2"/>
      </w:pPr>
      <w:r>
        <w:t>Genesis 8:20 — “Noah builded an altar unto the LORD”</w:t>
      </w:r>
    </w:p>
    <w:p>
      <w:r>
        <w:t>The section is headed “NOAH’S OFFERING — vv. 20–22.” “Altar,” “every clean beast,” “every clean fowl,” and “burnt offerings” are marked. Mansfield treats the burnt offering as total dedication: the victim is slain, cleansed, ordered on the altar and wholly consumed, representing a life yielded to God. First Peter 1:19 is used to connect the clean offering with Christ “without blemish and without spot.”</w:t>
      </w:r>
    </w:p>
    <w:p>
      <w:pPr>
        <w:pStyle w:val="Heading2"/>
      </w:pPr>
      <w:r>
        <w:t>Genesis 8:21 — “the LORD smelled a sweet savour”</w:t>
      </w:r>
    </w:p>
    <w:p>
      <w:r>
        <w:t>The obscured Hebrew is recovered as ruach hannichoah, “a savour of rest,” deliberately related by Mansfield to Noah’s name. The burnt offering itself is olah, “that which ascends.” Mansfield links the principle to Ephesians 5:2 and Philippians 4:18: acceptable self-dedication rises as a pleasing offering to God.</w:t>
      </w:r>
    </w:p>
    <w:p>
      <w:r>
        <w:t>“I will not again curse the ground” is clarified by the Hebrew lo yesaph, from yasaph, “to add / augment”: “I will not add to curse the earth.” The following clause qualifies the promise: God will not again smite all living as He did by the Flood. Isaiah 54:9 is cited in connection with this covenant mercy.</w:t>
      </w:r>
    </w:p>
    <w:p>
      <w:r>
        <w:t>“The imagination of man’s heart is evil from his youth” is strongly marked. The Flood cleansed the world but did not change human nature; redemption must therefore address the human heart, not merely the environment.</w:t>
      </w:r>
    </w:p>
    <w:p>
      <w:pPr>
        <w:pStyle w:val="Heading2"/>
      </w:pPr>
      <w:r>
        <w:t>Genesis 8:22 — “seedtime and harvest... shall not cease”</w:t>
      </w:r>
    </w:p>
    <w:p>
      <w:r>
        <w:t>The ordered cycles are marked as covenant assurance. Mansfield divides the statement into human co-operation — seedtime and harvest require sowing and labour — and divine provision in cold and heat, summer and winter, day and night.</w:t>
      </w:r>
    </w:p>
    <w:p>
      <w:r>
        <w:t>The supporting references are Ecclesiastes 1:4, Psalm 148:6 and Isaiah 45:18 for the earth’s continuance, and Jeremiah 31:35 and 33:24–26 for Yahweh’s covenant with day and night. The seasons therefore witness to divine mercy and dependable order.</w:t>
      </w:r>
    </w:p>
    <w:p>
      <w:pPr>
        <w:pStyle w:val="Heading1"/>
      </w:pPr>
      <w:r>
        <w:t>THE SEVEN SIGNS TO NOAH</w:t>
      </w:r>
    </w:p>
    <w:p>
      <w:pPr>
        <w:pStyle w:val="ListBullet"/>
        <w:spacing w:after="34"/>
      </w:pPr>
      <w:r>
        <w:t>The ark rested — v. 4.</w:t>
      </w:r>
    </w:p>
    <w:p>
      <w:pPr>
        <w:pStyle w:val="ListBullet"/>
        <w:spacing w:after="34"/>
      </w:pPr>
      <w:r>
        <w:t>The tops of the mountains were seen — v. 5.</w:t>
      </w:r>
    </w:p>
    <w:p>
      <w:pPr>
        <w:pStyle w:val="ListBullet"/>
        <w:spacing w:after="34"/>
      </w:pPr>
      <w:r>
        <w:t>The searching/wandering raven — v. 7.</w:t>
      </w:r>
    </w:p>
    <w:p>
      <w:pPr>
        <w:pStyle w:val="ListBullet"/>
        <w:spacing w:after="34"/>
      </w:pPr>
      <w:r>
        <w:t>The restless dove — v. 9.</w:t>
      </w:r>
    </w:p>
    <w:p>
      <w:pPr>
        <w:pStyle w:val="ListBullet"/>
        <w:spacing w:after="34"/>
      </w:pPr>
      <w:r>
        <w:t>The dove returned with an olive leaf — v. 11.</w:t>
      </w:r>
    </w:p>
    <w:p>
      <w:pPr>
        <w:pStyle w:val="ListBullet"/>
        <w:spacing w:after="34"/>
      </w:pPr>
      <w:r>
        <w:t>The dove did not return — v. 12.</w:t>
      </w:r>
    </w:p>
    <w:p>
      <w:pPr>
        <w:pStyle w:val="ListBullet"/>
        <w:spacing w:after="34"/>
      </w:pPr>
      <w:r>
        <w:t>The ground was dry — v. 13.</w:t>
      </w:r>
    </w:p>
    <w:p>
      <w:pPr>
        <w:pStyle w:val="Heading1"/>
      </w:pPr>
      <w:r>
        <w:t>PRINCIPAL THEMES</w:t>
      </w:r>
    </w:p>
    <w:p>
      <w:pPr>
        <w:spacing w:after="48"/>
      </w:pPr>
      <w:r>
        <w:rPr>
          <w:b/>
        </w:rPr>
        <w:t xml:space="preserve">God remembers by acting. </w:t>
      </w:r>
      <w:r>
        <w:t>Covenant remembrance is active rather than evidence of prior forgetfulness.</w:t>
      </w:r>
    </w:p>
    <w:p>
      <w:pPr>
        <w:spacing w:after="48"/>
      </w:pPr>
      <w:r>
        <w:rPr>
          <w:b/>
        </w:rPr>
        <w:t xml:space="preserve">Restoration by stages. </w:t>
      </w:r>
      <w:r>
        <w:t>Judgment recedes in an exact, carefully dated sequence.</w:t>
      </w:r>
    </w:p>
    <w:p>
      <w:pPr>
        <w:spacing w:after="48"/>
      </w:pPr>
      <w:r>
        <w:rPr>
          <w:b/>
        </w:rPr>
        <w:t xml:space="preserve">Rest before sight. </w:t>
      </w:r>
      <w:r>
        <w:t>The ark rests before the mountain tops are visible.</w:t>
      </w:r>
    </w:p>
    <w:p>
      <w:pPr>
        <w:spacing w:after="48"/>
      </w:pPr>
      <w:r>
        <w:rPr>
          <w:b/>
        </w:rPr>
        <w:t xml:space="preserve">Raven and dove. </w:t>
      </w:r>
      <w:r>
        <w:t>The birds form a moral contrast and supply successive signs.</w:t>
      </w:r>
    </w:p>
    <w:p>
      <w:pPr>
        <w:spacing w:after="48"/>
      </w:pPr>
      <w:r>
        <w:rPr>
          <w:b/>
        </w:rPr>
        <w:t xml:space="preserve">A new beginning. </w:t>
      </w:r>
      <w:r>
        <w:t>The dried earth, first day of the year and renewed fruitfulness all point to restoration.</w:t>
      </w:r>
    </w:p>
    <w:p>
      <w:pPr>
        <w:spacing w:after="48"/>
      </w:pPr>
      <w:r>
        <w:rPr>
          <w:b/>
        </w:rPr>
        <w:t xml:space="preserve">Waiting for the command. </w:t>
      </w:r>
      <w:r>
        <w:t>Noah does not substitute observation for obedience.</w:t>
      </w:r>
    </w:p>
    <w:p>
      <w:pPr>
        <w:spacing w:after="48"/>
      </w:pPr>
      <w:r>
        <w:rPr>
          <w:b/>
        </w:rPr>
        <w:t xml:space="preserve">Worship first. </w:t>
      </w:r>
      <w:r>
        <w:t>The first recorded action after leaving the ark is sacrifice.</w:t>
      </w:r>
    </w:p>
    <w:p>
      <w:pPr>
        <w:spacing w:after="48"/>
      </w:pPr>
      <w:r>
        <w:rPr>
          <w:b/>
        </w:rPr>
        <w:t xml:space="preserve">Human nature remains. </w:t>
      </w:r>
      <w:r>
        <w:t>A cleansed environment does not remove the evil tendency of the human heart.</w:t>
      </w:r>
    </w:p>
    <w:p>
      <w:pPr>
        <w:spacing w:after="48"/>
      </w:pPr>
      <w:r>
        <w:rPr>
          <w:b/>
        </w:rPr>
        <w:t xml:space="preserve">Covenant order. </w:t>
      </w:r>
      <w:r>
        <w:t>Seedtime, harvest, seasons and day/night are guaranteed as stable divine provision.</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408"/>
        <w:gridCol w:w="3408"/>
        <w:gridCol w:w="3408"/>
      </w:tblGrid>
      <w:tr>
        <w:tc>
          <w:tcPr>
            <w:tcW w:type="dxa" w:w="3408"/>
          </w:tcPr>
          <w:p>
            <w:r>
              <w:rPr>
                <w:rFonts w:ascii="Times New Roman" w:hAnsi="Times New Roman"/>
                <w:b/>
                <w:sz w:val="17"/>
              </w:rPr>
              <w:t>Location</w:t>
            </w:r>
          </w:p>
        </w:tc>
        <w:tc>
          <w:tcPr>
            <w:tcW w:type="dxa" w:w="3408"/>
          </w:tcPr>
          <w:p>
            <w:r>
              <w:rPr>
                <w:rFonts w:ascii="Times New Roman" w:hAnsi="Times New Roman"/>
                <w:b/>
                <w:sz w:val="17"/>
              </w:rPr>
              <w:t>Checked / corrected reading</w:t>
            </w:r>
          </w:p>
        </w:tc>
        <w:tc>
          <w:tcPr>
            <w:tcW w:type="dxa" w:w="3408"/>
          </w:tcPr>
          <w:p>
            <w:r>
              <w:rPr>
                <w:rFonts w:ascii="Times New Roman" w:hAnsi="Times New Roman"/>
                <w:b/>
                <w:sz w:val="17"/>
              </w:rPr>
              <w:t>Basis</w:t>
            </w:r>
          </w:p>
        </w:tc>
      </w:tr>
      <w:tr>
        <w:tc>
          <w:tcPr>
            <w:tcW w:type="dxa" w:w="3408"/>
            <w:vAlign w:val="top"/>
          </w:tcPr>
          <w:p>
            <w:r>
              <w:rPr>
                <w:rFonts w:ascii="Times New Roman" w:hAnsi="Times New Roman"/>
                <w:sz w:val="16"/>
              </w:rPr>
              <w:t>Gen. 8:1</w:t>
            </w:r>
          </w:p>
        </w:tc>
        <w:tc>
          <w:tcPr>
            <w:tcW w:type="dxa" w:w="3408"/>
            <w:vAlign w:val="top"/>
          </w:tcPr>
          <w:p>
            <w:r>
              <w:rPr>
                <w:rFonts w:ascii="Times New Roman" w:hAnsi="Times New Roman"/>
                <w:sz w:val="16"/>
              </w:rPr>
              <w:t>zakar — “mark so as to recognise”; ruach — wind/spirit</w:t>
            </w:r>
          </w:p>
        </w:tc>
        <w:tc>
          <w:tcPr>
            <w:tcW w:type="dxa" w:w="3408"/>
            <w:vAlign w:val="top"/>
          </w:tcPr>
          <w:p>
            <w:r>
              <w:rPr>
                <w:rFonts w:ascii="Times New Roman" w:hAnsi="Times New Roman"/>
                <w:sz w:val="16"/>
              </w:rPr>
              <w:t>Recovered from Mansfield’s published Expositor; parallels Genesis 1:2.</w:t>
            </w:r>
          </w:p>
        </w:tc>
      </w:tr>
      <w:tr>
        <w:tc>
          <w:tcPr>
            <w:tcW w:type="dxa" w:w="3408"/>
            <w:vAlign w:val="top"/>
          </w:tcPr>
          <w:p>
            <w:r>
              <w:rPr>
                <w:rFonts w:ascii="Times New Roman" w:hAnsi="Times New Roman"/>
                <w:sz w:val="16"/>
              </w:rPr>
              <w:t>Gen. 8:3</w:t>
            </w:r>
          </w:p>
        </w:tc>
        <w:tc>
          <w:tcPr>
            <w:tcW w:type="dxa" w:w="3408"/>
            <w:vAlign w:val="top"/>
          </w:tcPr>
          <w:p>
            <w:r>
              <w:rPr>
                <w:rFonts w:ascii="Times New Roman" w:hAnsi="Times New Roman"/>
                <w:sz w:val="16"/>
              </w:rPr>
              <w:t>“going and returning”; chacer — lessen/decrease</w:t>
            </w:r>
          </w:p>
        </w:tc>
        <w:tc>
          <w:tcPr>
            <w:tcW w:type="dxa" w:w="3408"/>
            <w:vAlign w:val="top"/>
          </w:tcPr>
          <w:p>
            <w:r>
              <w:rPr>
                <w:rFonts w:ascii="Times New Roman" w:hAnsi="Times New Roman"/>
                <w:sz w:val="16"/>
              </w:rPr>
              <w:t>Recovers the uncertain recession note and Rotherham’s “decreased.”</w:t>
            </w:r>
          </w:p>
        </w:tc>
      </w:tr>
      <w:tr>
        <w:tc>
          <w:tcPr>
            <w:tcW w:type="dxa" w:w="3408"/>
            <w:vAlign w:val="top"/>
          </w:tcPr>
          <w:p>
            <w:r>
              <w:rPr>
                <w:rFonts w:ascii="Times New Roman" w:hAnsi="Times New Roman"/>
                <w:sz w:val="16"/>
              </w:rPr>
              <w:t>Gen. 8:6</w:t>
            </w:r>
          </w:p>
        </w:tc>
        <w:tc>
          <w:tcPr>
            <w:tcW w:type="dxa" w:w="3408"/>
            <w:vAlign w:val="top"/>
          </w:tcPr>
          <w:p>
            <w:r>
              <w:rPr>
                <w:rFonts w:ascii="Times New Roman" w:hAnsi="Times New Roman"/>
                <w:sz w:val="16"/>
              </w:rPr>
              <w:t>challon — small aperture; distinct from tsohar</w:t>
            </w:r>
          </w:p>
        </w:tc>
        <w:tc>
          <w:tcPr>
            <w:tcW w:type="dxa" w:w="3408"/>
            <w:vAlign w:val="top"/>
          </w:tcPr>
          <w:p>
            <w:r>
              <w:rPr>
                <w:rFonts w:ascii="Times New Roman" w:hAnsi="Times New Roman"/>
                <w:sz w:val="16"/>
              </w:rPr>
              <w:t>Mansfield explicitly distinguishes Genesis 8:6 from Genesis 6:16.</w:t>
            </w:r>
          </w:p>
        </w:tc>
      </w:tr>
      <w:tr>
        <w:tc>
          <w:tcPr>
            <w:tcW w:type="dxa" w:w="3408"/>
            <w:vAlign w:val="top"/>
          </w:tcPr>
          <w:p>
            <w:r>
              <w:rPr>
                <w:rFonts w:ascii="Times New Roman" w:hAnsi="Times New Roman"/>
                <w:sz w:val="16"/>
              </w:rPr>
              <w:t>Gen. 8:11</w:t>
            </w:r>
          </w:p>
        </w:tc>
        <w:tc>
          <w:tcPr>
            <w:tcW w:type="dxa" w:w="3408"/>
            <w:vAlign w:val="top"/>
          </w:tcPr>
          <w:p>
            <w:r>
              <w:rPr>
                <w:rFonts w:ascii="Times New Roman" w:hAnsi="Times New Roman"/>
                <w:sz w:val="16"/>
              </w:rPr>
              <w:t>Hos. 14:6; Rom. 11:17; Gal. 6:16; Eph. 2:11–14; Mal. 4:1–2</w:t>
            </w:r>
          </w:p>
        </w:tc>
        <w:tc>
          <w:tcPr>
            <w:tcW w:type="dxa" w:w="3408"/>
            <w:vAlign w:val="top"/>
          </w:tcPr>
          <w:p>
            <w:r>
              <w:rPr>
                <w:rFonts w:ascii="Times New Roman" w:hAnsi="Times New Roman"/>
                <w:sz w:val="16"/>
              </w:rPr>
              <w:t>Recovers the dove/olive symbolic reference chain.</w:t>
            </w:r>
          </w:p>
        </w:tc>
      </w:tr>
      <w:tr>
        <w:tc>
          <w:tcPr>
            <w:tcW w:type="dxa" w:w="3408"/>
            <w:vAlign w:val="top"/>
          </w:tcPr>
          <w:p>
            <w:r>
              <w:rPr>
                <w:rFonts w:ascii="Times New Roman" w:hAnsi="Times New Roman"/>
                <w:sz w:val="16"/>
              </w:rPr>
              <w:t>Gen. 8:13–14</w:t>
            </w:r>
          </w:p>
        </w:tc>
        <w:tc>
          <w:tcPr>
            <w:tcW w:type="dxa" w:w="3408"/>
            <w:vAlign w:val="top"/>
          </w:tcPr>
          <w:p>
            <w:r>
              <w:rPr>
                <w:rFonts w:ascii="Times New Roman" w:hAnsi="Times New Roman"/>
                <w:sz w:val="16"/>
              </w:rPr>
              <w:t>charebu (surface dry) / yabeshah (completely dry)</w:t>
            </w:r>
          </w:p>
        </w:tc>
        <w:tc>
          <w:tcPr>
            <w:tcW w:type="dxa" w:w="3408"/>
            <w:vAlign w:val="top"/>
          </w:tcPr>
          <w:p>
            <w:r>
              <w:rPr>
                <w:rFonts w:ascii="Times New Roman" w:hAnsi="Times New Roman"/>
                <w:sz w:val="16"/>
              </w:rPr>
              <w:t>Explains the further 56-day wait before leaving the ark.</w:t>
            </w:r>
          </w:p>
        </w:tc>
      </w:tr>
      <w:tr>
        <w:tc>
          <w:tcPr>
            <w:tcW w:type="dxa" w:w="3408"/>
            <w:vAlign w:val="top"/>
          </w:tcPr>
          <w:p>
            <w:r>
              <w:rPr>
                <w:rFonts w:ascii="Times New Roman" w:hAnsi="Times New Roman"/>
                <w:sz w:val="16"/>
              </w:rPr>
              <w:t>Gen. 8:14</w:t>
            </w:r>
          </w:p>
        </w:tc>
        <w:tc>
          <w:tcPr>
            <w:tcW w:type="dxa" w:w="3408"/>
            <w:vAlign w:val="top"/>
          </w:tcPr>
          <w:p>
            <w:r>
              <w:rPr>
                <w:rFonts w:ascii="Times New Roman" w:hAnsi="Times New Roman"/>
                <w:sz w:val="16"/>
              </w:rPr>
              <w:t>370 days on 30-day months; approximately 365 on alternate 29/30-day reckoning</w:t>
            </w:r>
          </w:p>
        </w:tc>
        <w:tc>
          <w:tcPr>
            <w:tcW w:type="dxa" w:w="3408"/>
            <w:vAlign w:val="top"/>
          </w:tcPr>
          <w:p>
            <w:r>
              <w:rPr>
                <w:rFonts w:ascii="Times New Roman" w:hAnsi="Times New Roman"/>
                <w:sz w:val="16"/>
              </w:rPr>
              <w:t>Recovers the previously uncertain chronological arithmetic.</w:t>
            </w:r>
          </w:p>
        </w:tc>
      </w:tr>
      <w:tr>
        <w:tc>
          <w:tcPr>
            <w:tcW w:type="dxa" w:w="3408"/>
            <w:vAlign w:val="top"/>
          </w:tcPr>
          <w:p>
            <w:r>
              <w:rPr>
                <w:rFonts w:ascii="Times New Roman" w:hAnsi="Times New Roman"/>
                <w:sz w:val="16"/>
              </w:rPr>
              <w:t>Gen. 8:21</w:t>
            </w:r>
          </w:p>
        </w:tc>
        <w:tc>
          <w:tcPr>
            <w:tcW w:type="dxa" w:w="3408"/>
            <w:vAlign w:val="top"/>
          </w:tcPr>
          <w:p>
            <w:r>
              <w:rPr>
                <w:rFonts w:ascii="Times New Roman" w:hAnsi="Times New Roman"/>
                <w:sz w:val="16"/>
              </w:rPr>
              <w:t>ruach hannichoah — “savour of rest”; olah — “that which ascends”</w:t>
            </w:r>
          </w:p>
        </w:tc>
        <w:tc>
          <w:tcPr>
            <w:tcW w:type="dxa" w:w="3408"/>
            <w:vAlign w:val="top"/>
          </w:tcPr>
          <w:p>
            <w:r>
              <w:rPr>
                <w:rFonts w:ascii="Times New Roman" w:hAnsi="Times New Roman"/>
                <w:sz w:val="16"/>
              </w:rPr>
              <w:t>Recovered from Mansfield’s published offering exposition.</w:t>
            </w:r>
          </w:p>
        </w:tc>
      </w:tr>
      <w:tr>
        <w:tc>
          <w:tcPr>
            <w:tcW w:type="dxa" w:w="3408"/>
            <w:vAlign w:val="top"/>
          </w:tcPr>
          <w:p>
            <w:r>
              <w:rPr>
                <w:rFonts w:ascii="Times New Roman" w:hAnsi="Times New Roman"/>
                <w:sz w:val="16"/>
              </w:rPr>
              <w:t>Gen. 8:21</w:t>
            </w:r>
          </w:p>
        </w:tc>
        <w:tc>
          <w:tcPr>
            <w:tcW w:type="dxa" w:w="3408"/>
            <w:vAlign w:val="top"/>
          </w:tcPr>
          <w:p>
            <w:r>
              <w:rPr>
                <w:rFonts w:ascii="Times New Roman" w:hAnsi="Times New Roman"/>
                <w:sz w:val="16"/>
              </w:rPr>
              <w:t>lo yesaph — “I will not add to curse...”</w:t>
            </w:r>
          </w:p>
        </w:tc>
        <w:tc>
          <w:tcPr>
            <w:tcW w:type="dxa" w:w="3408"/>
            <w:vAlign w:val="top"/>
          </w:tcPr>
          <w:p>
            <w:r>
              <w:rPr>
                <w:rFonts w:ascii="Times New Roman" w:hAnsi="Times New Roman"/>
                <w:sz w:val="16"/>
              </w:rPr>
              <w:t>Clarifies the “not again” note and the scope of the Flood promise.</w:t>
            </w:r>
          </w:p>
        </w:tc>
      </w:tr>
      <w:tr>
        <w:tc>
          <w:tcPr>
            <w:tcW w:type="dxa" w:w="3408"/>
            <w:vAlign w:val="top"/>
          </w:tcPr>
          <w:p>
            <w:r>
              <w:rPr>
                <w:rFonts w:ascii="Times New Roman" w:hAnsi="Times New Roman"/>
                <w:sz w:val="16"/>
              </w:rPr>
              <w:t>Gen. 8:22</w:t>
            </w:r>
          </w:p>
        </w:tc>
        <w:tc>
          <w:tcPr>
            <w:tcW w:type="dxa" w:w="3408"/>
            <w:vAlign w:val="top"/>
          </w:tcPr>
          <w:p>
            <w:r>
              <w:rPr>
                <w:rFonts w:ascii="Times New Roman" w:hAnsi="Times New Roman"/>
                <w:sz w:val="16"/>
              </w:rPr>
              <w:t>Eccl. 1:4; Ps. 148:6; Isa. 45:18; Jer. 31:35; 33:24–26</w:t>
            </w:r>
          </w:p>
        </w:tc>
        <w:tc>
          <w:tcPr>
            <w:tcW w:type="dxa" w:w="3408"/>
            <w:vAlign w:val="top"/>
          </w:tcPr>
          <w:p>
            <w:r>
              <w:rPr>
                <w:rFonts w:ascii="Times New Roman" w:hAnsi="Times New Roman"/>
                <w:sz w:val="16"/>
              </w:rPr>
              <w:t>References checked for earth’s continuance and covenantal order.</w:t>
            </w:r>
          </w:p>
        </w:tc>
      </w:tr>
    </w:tbl>
    <w:p>
      <w:pPr>
        <w:pStyle w:val="Heading1"/>
      </w:pPr>
      <w:r>
        <w:t>RESIDUAL UNCERTAINTIES</w:t>
      </w:r>
    </w:p>
    <w:p>
      <w:pPr>
        <w:pStyle w:val="ListBullet"/>
        <w:spacing w:after="34"/>
      </w:pPr>
      <w:r>
        <w:t>some exact wording in the HPB national application of the dove at Genesis 8:9;</w:t>
      </w:r>
    </w:p>
    <w:p>
      <w:pPr>
        <w:pStyle w:val="ListBullet"/>
        <w:spacing w:after="34"/>
      </w:pPr>
      <w:r>
        <w:t>a few tiny handwritten references beside the upper-margin Flood chronology;</w:t>
      </w:r>
    </w:p>
    <w:p>
      <w:pPr>
        <w:pStyle w:val="ListBullet"/>
        <w:spacing w:after="34"/>
      </w:pPr>
      <w:r>
        <w:t>some compressed wording in the future-Kingdom application attached to Genesis 8:17;</w:t>
      </w:r>
    </w:p>
    <w:p>
      <w:pPr>
        <w:pStyle w:val="ListBullet"/>
        <w:spacing w:after="34"/>
      </w:pPr>
      <w:r>
        <w:t>minor cross-references around the offering that add no recoverable text beyond the verified Mansfield exposition.</w:t>
      </w:r>
    </w:p>
    <w:p>
      <w:r>
        <w:t>These have not been silently guessed. Where Mansfield’s published Expositor clearly resolves a word or reference already present in the HPB notes, the recovered reading is identified above.</w:t>
      </w:r>
    </w:p>
    <w:sectPr w:rsidR="00FC693F" w:rsidRPr="0006063C" w:rsidSect="00034616">
      <w:headerReference w:type="default" r:id="rId9"/>
      <w:footerReference w:type="default" r:id="rId10"/>
      <w:pgSz w:w="12240" w:h="15840"/>
      <w:pgMar w:top="835" w:right="1008" w:bottom="835"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6"/>
      </w:rPr>
      <w:t>H. P. MANSFIELD BIBLE NOTES  •  GENESIS 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70"/>
      <w:outlineLvl w:val="0"/>
    </w:pPr>
    <w:rPr>
      <w:rFonts w:asciiTheme="majorHAnsi" w:eastAsiaTheme="majorEastAsia" w:hAnsiTheme="majorHAnsi" w:cstheme="majorBidi" w:ascii="Times New Roman" w:hAnsi="Times New Roman" w:eastAsia="Times New Roman"/>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130" w:after="40"/>
      <w:outlineLvl w:val="1"/>
    </w:pPr>
    <w:rPr>
      <w:rFonts w:asciiTheme="majorHAnsi" w:eastAsiaTheme="majorEastAsia" w:hAnsiTheme="majorHAnsi" w:cstheme="majorBidi" w:ascii="Times New Roman" w:hAnsi="Times New Roman" w:eastAsia="Times New Roman"/>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eastAsia="Times New Roman"/>
      <w:b/>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