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9</w:t>
      </w:r>
    </w:p>
    <w:p>
      <w:pPr>
        <w:pStyle w:val="Subtitle"/>
        <w:jc w:val="center"/>
      </w:pPr>
      <w:r>
        <w:t>THE NEW ORDER • THE COVENANT WITH ALL FLESH • HUMAN NATURE UNCHANGED</w:t>
      </w:r>
    </w:p>
    <w:p>
      <w:pPr>
        <w:jc w:val="center"/>
      </w:pPr>
      <w:r>
        <w:rPr>
          <w:i/>
          <w:sz w:val="18"/>
        </w:rPr>
        <w:t>H. P. Mansfield Bible notes — checked and arranged in verse-by-verse Expositor style</w:t>
      </w:r>
    </w:p>
    <w:p>
      <w:pPr>
        <w:jc w:val="center"/>
      </w:pPr>
      <w:r>
        <w:rPr>
          <w:sz w:val="16"/>
        </w:rPr>
        <w:t>Source: HPB 01-Gen01-Gen41.PDF, Genesis 9 photographed pages 51–52</w:t>
      </w:r>
    </w:p>
    <w:p>
      <w:pPr>
        <w:pStyle w:val="Heading1"/>
      </w:pPr>
      <w:r>
        <w:t>CHAPTER OVERVIEW</w:t>
      </w:r>
    </w:p>
    <w:p>
      <w:r>
        <w:t>Mansfield divides the chapter into “THE NEW ORDER” (vv. 1–7), “THE NEW COVENANT” (vv. 8–17), and “HUMAN NATURE UNCHANGED” (vv. 18–29). The regenerated earth receives a renewed social order, but Noah’s later failure demonstrates that environmental cleansing has not altered the flesh.</w:t>
      </w:r>
    </w:p>
    <w:p>
      <w:r>
        <w:t>The chapter therefore joins two truths: divine goodness establishes life, order and covenant; human nature still requires restraint, covering and ultimately redemption.</w:t>
      </w:r>
    </w:p>
    <w:p>
      <w:pPr>
        <w:pStyle w:val="Heading2"/>
      </w:pPr>
      <w:r>
        <w:t>Genesis 9:1 — “Be fruitful, and multiply, and replenish the earth”</w:t>
      </w:r>
    </w:p>
    <w:p>
      <w:r>
        <w:t>“God blessed Noah and his sons,” “Be fruitful,” “multiply,” and “replenish the earth” are marked. The blessing renews Genesis 1:28, but Mansfield notes a significant omission: “have dominion” is not repeated. Full world dominion awaits the ideal Son of God, with Ephesians 1:22 and Hebrews 2:8–9 cited.</w:t>
      </w:r>
    </w:p>
    <w:p>
      <w:pPr>
        <w:pStyle w:val="Heading2"/>
      </w:pPr>
      <w:r>
        <w:t>Genesis 9:2 — “the fear of you and the dread of you”</w:t>
      </w:r>
    </w:p>
    <w:p>
      <w:r>
        <w:t>“Fear,” “dread,” the animals, birds and fishes, and “into your hand are they delivered” are marked. Mansfield contrasts this with the earlier harmony of creation and sees fear as a protective restraint in the post-Flood order. James 3:7 is cited for man’s ability to tame the lower creation.</w:t>
      </w:r>
    </w:p>
    <w:p>
      <w:pPr>
        <w:pStyle w:val="Heading2"/>
      </w:pPr>
      <w:r>
        <w:t>Genesis 9:3 — “Every moving thing that liveth shall be meat for you”</w:t>
      </w:r>
    </w:p>
    <w:p>
      <w:r>
        <w:t>The permission is strongly marked. Mansfield distinguishes this Noahic provision from later Mosaic food restrictions: here no animal is excluded merely because it would later be classed as “unclean.” He treats the earlier clean/unclean distinction as carrying doctrinal symbolism as well as practical use.</w:t>
      </w:r>
    </w:p>
    <w:p>
      <w:r>
        <w:t>Acts 10:12–16 supplies his principal spiritual application: Peter’s permission to kill and eat prefigures extension of the Gospel to those formerly treated as unclean. Supporting references include 1 Timothy 4:3–5, Romans 14:3, 14, 17, 20 and 1 Corinthians 10:23, 25–26, 31.</w:t>
      </w:r>
    </w:p>
    <w:p>
      <w:pPr>
        <w:pStyle w:val="Heading2"/>
      </w:pPr>
      <w:r>
        <w:t>Genesis 9:4 — “flesh with the life thereof, which is the blood thereof”</w:t>
      </w:r>
    </w:p>
    <w:p>
      <w:r>
        <w:t>“Life” is nephesh, frequently rendered “soul.” Mansfield uses Leviticus 17:11 to stress that blood represents the life and that life belongs to God. The prohibition therefore teaches reverence for life and dedication rather than implying an immortal entity within the blood.</w:t>
      </w:r>
    </w:p>
    <w:p>
      <w:r>
        <w:t>He follows the theme through sacrifice: blood of sacrificial animals is associated with the altar; blood from animals killed for food is poured out and covered (Leviticus 17:10–14). Hebrews 9:22 is cited in connection with the necessity of life being poured out in sacrificial dedication.</w:t>
      </w:r>
    </w:p>
    <w:p>
      <w:pPr>
        <w:pStyle w:val="Heading2"/>
      </w:pPr>
      <w:r>
        <w:t>Genesis 9:5 — “your blood of your lives will I require”</w:t>
      </w:r>
    </w:p>
    <w:p>
      <w:r>
        <w:t>Mansfield describes God successively as Life-giver, King, Provider, Lawgiver and now Judge. “I require” carries the sense of searching after with a view to punishment. Responsibility applies to both beast and man.</w:t>
      </w:r>
    </w:p>
    <w:p>
      <w:r>
        <w:t>The supporting homicide references require one correction: the inherited Expositor text prints “Numbers 25:31–33,” which cannot be correct because Numbers 25 has only 18 verses. The context and wording identify the intended passage as Numbers 35:31–33, alongside Exodus 21:12, 28–29 and Deuteronomy 21:1–9.</w:t>
      </w:r>
    </w:p>
    <w:p>
      <w:r>
        <w:t>The “brotherly covenant” language is connected with Amos 1:9 and the family-redeemer responsibility reflected in Numbers 35:12 and Deuteronomy 19:6. Mansfield then points to the ultimate Redeemer in Hebrews 2:14.</w:t>
      </w:r>
    </w:p>
    <w:p>
      <w:pPr>
        <w:pStyle w:val="Heading2"/>
      </w:pPr>
      <w:r>
        <w:t>Genesis 9:6 — “Whoso sheddeth man’s blood, by man shall his blood be shed”</w:t>
      </w:r>
    </w:p>
    <w:p>
      <w:r>
        <w:t>The law and “in the image of God made he man” are heavily marked. Mansfield treats the enactment as a restraint upon the violence that characterised the pre-Flood world. The sanctity of human life rests on mankind’s creation in the divine image.</w:t>
      </w:r>
    </w:p>
    <w:p>
      <w:r>
        <w:t>The note is Mansfield’s exposition of the civil law given to Noah; it is not presented as a commission for individual believers to exact vengeance. Romans 12:19 is used to distinguish personal revenge from judicial responsibility.</w:t>
      </w:r>
    </w:p>
    <w:p>
      <w:pPr>
        <w:pStyle w:val="Heading2"/>
      </w:pPr>
      <w:r>
        <w:t>Genesis 9:7</w:t>
      </w:r>
    </w:p>
    <w:p>
      <w:r>
        <w:t>The renewed command to be fruitful and multiply closes “THE NEW ORDER.” Mansfield applies fruit-bearing spiritually through John 12:24; 15:2, 4–5, 8, 16; Romans 7:4 and Galatians 5:22.</w:t>
      </w:r>
    </w:p>
    <w:p>
      <w:pPr>
        <w:pStyle w:val="Heading1"/>
      </w:pPr>
      <w:r>
        <w:t>THE COVENANT WITH ALL FLESH — GENESIS 9:8–17</w:t>
      </w:r>
    </w:p>
    <w:p>
      <w:pPr>
        <w:pStyle w:val="Heading2"/>
      </w:pPr>
      <w:r>
        <w:t>Genesis 9:8–10 — “I establish my covenant”</w:t>
      </w:r>
    </w:p>
    <w:p>
      <w:r>
        <w:t>God speaks to Noah and his sons and explicitly includes their seed and every living creature. Mansfield enumerates four parties: God, Noah, Noah’s seed, and the creatures emerging from the ark. The covenant is initiated and guaranteed by God, not negotiated by man.</w:t>
      </w:r>
    </w:p>
    <w:p>
      <w:pPr>
        <w:pStyle w:val="Heading2"/>
      </w:pPr>
      <w:r>
        <w:t>Genesis 9:11</w:t>
      </w:r>
    </w:p>
    <w:p>
      <w:r>
        <w:t>“Neither shall all flesh be cut off any more by the waters of a flood” is marked. Mansfield carefully limits the pledge to another universal destruction by Flood. Habakkuk 2:14 is used as the positive counterpart: the earth is destined to be filled with the knowledge of Yahweh’s glory.</w:t>
      </w:r>
    </w:p>
    <w:p>
      <w:pPr>
        <w:pStyle w:val="Heading2"/>
      </w:pPr>
      <w:r>
        <w:t>Genesis 9:12 — “token of the covenant”</w:t>
      </w:r>
    </w:p>
    <w:p>
      <w:r>
        <w:t>“Token” and “perpetual generations” are marked. Mansfield interprets “generations of olam” as extending the covenantal witness forward into the hidden/future age. He compares the enduring Name and memorial in Exodus 3:15 and Psalms 45:17; 79:13; 100:5; 102:12; 135:13; 145:13; 146:10.</w:t>
      </w:r>
    </w:p>
    <w:p>
      <w:pPr>
        <w:pStyle w:val="Heading2"/>
      </w:pPr>
      <w:r>
        <w:t>Genesis 9:13 — “I do set my bow in the cloud”</w:t>
      </w:r>
    </w:p>
    <w:p>
      <w:r>
        <w:t>The Hebrew behind “I do set” is nathan, “appoint / grant”; Mansfield therefore does not require this to be the first rainbow ever seen, but the first divine appointment of the phenomenon as a covenant sign. “Bow” is qesheth, from the idea of bending.</w:t>
      </w:r>
    </w:p>
    <w:p>
      <w:r>
        <w:t>A bow in human hands is normally a weapon; Yahweh’s bow in the cloud becomes a sign of peace and life. Mansfield’s optical note describes refraction of sunlight through rain and treats the traditional seven colours as suggestive of covenant completeness and varied manifestations of divine glory. Revelation 4:3 and Malachi 4:2 are central to the symbolic application.</w:t>
      </w:r>
    </w:p>
    <w:p>
      <w:r>
        <w:t>“Covenant” is berith, associated by Mansfield with cutting and therefore covenant sacrifice; Jeremiah 34:18 is cited for the cutting of the covenant victim.</w:t>
      </w:r>
    </w:p>
    <w:p>
      <w:pPr>
        <w:pStyle w:val="Heading2"/>
      </w:pPr>
      <w:r>
        <w:t>Genesis 9:14–15 — “I will remember my covenant”</w:t>
      </w:r>
    </w:p>
    <w:p>
      <w:r>
        <w:t>Cloud, bow and covenant remembrance are marked. As in Genesis 8:1, remembrance is active covenantal attention, not recovery from forgetfulness. The appearance of the sign confirms God’s continuing pledge toward life on earth.</w:t>
      </w:r>
    </w:p>
    <w:p>
      <w:pPr>
        <w:pStyle w:val="Heading2"/>
      </w:pPr>
      <w:r>
        <w:t>Genesis 9:16 — “everlasting covenant”</w:t>
      </w:r>
    </w:p>
    <w:p>
      <w:r>
        <w:t>The rainbow is treated as an emblem of divine glory in peace. Mansfield connects the circular rainbow around the throne in Revelation 4:3 with the completed manifestation of divine purpose. Several very small HPB references remain unreadable, but the central published reference is secure.</w:t>
      </w:r>
    </w:p>
    <w:p>
      <w:pPr>
        <w:pStyle w:val="Heading2"/>
      </w:pPr>
      <w:r>
        <w:t>Genesis 9:17</w:t>
      </w:r>
    </w:p>
    <w:p>
      <w:r>
        <w:t>The closing identification of the bow as “the token of the covenant” is marked. Noah stands typologically with assurance that divine redemption will proceed according to promise.</w:t>
      </w:r>
    </w:p>
    <w:p>
      <w:pPr>
        <w:pStyle w:val="Heading1"/>
      </w:pPr>
      <w:r>
        <w:t>HUMAN NATURE UNCHANGED — GENESIS 9:18–29</w:t>
      </w:r>
    </w:p>
    <w:p>
      <w:pPr>
        <w:pStyle w:val="Heading2"/>
      </w:pPr>
      <w:r>
        <w:t>Genesis 9:18–19</w:t>
      </w:r>
    </w:p>
    <w:p>
      <w:r>
        <w:t>Shem, Ham and Japheth are marked, together with “Ham is the father of Canaan” and “of them was the whole earth overspread.” The three sons form the family basis of the post-Flood nations, and the repeated mention of Canaan prepares for the later episode.</w:t>
      </w:r>
    </w:p>
    <w:p>
      <w:pPr>
        <w:pStyle w:val="Heading2"/>
      </w:pPr>
      <w:r>
        <w:t>Genesis 9:20 — “Noah began to be an husbandman”</w:t>
      </w:r>
    </w:p>
    <w:p>
      <w:r>
        <w:t>Noah’s cultivation and vineyard are marked. Mansfield connects the renewed productivity with Lamech’s words in Genesis 5:29 concerning comfort from the cursed ground, while warning that legitimate comfort can be pursued to excess.</w:t>
      </w:r>
    </w:p>
    <w:p>
      <w:pPr>
        <w:pStyle w:val="Heading2"/>
      </w:pPr>
      <w:r>
        <w:t>Genesis 9:21 — “he drank of the wine, and was drunken”</w:t>
      </w:r>
    </w:p>
    <w:p>
      <w:r>
        <w:t>Drunkenness and uncovering are heavily marked. Mansfield uses the incident as the decisive proof that “SIN IN THE FLESH SURVIVES.” The verb for “uncovered” is related to galah; he compares Noah’s exposed shame with Adam after transgression and cites Revelation 16:15 as a warning against figurative nakedness.</w:t>
      </w:r>
    </w:p>
    <w:p>
      <w:pPr>
        <w:pStyle w:val="Heading2"/>
      </w:pPr>
      <w:r>
        <w:t>Genesis 9:22 — “Ham the father of Canaan saw the nakedness of his father”</w:t>
      </w:r>
    </w:p>
    <w:p>
      <w:r>
        <w:t>Mansfield’s published wording resolves the character of the act: Ham did not merely glance accidentally. He saw Noah in a shameful condition and, rather than help him, went outside to tell his brothers, apparently seeking to share the humiliation. Habakkuk 2:15–16, Proverbs 14:9 and Romans 1:32 are used to describe the moral attitude.</w:t>
      </w:r>
    </w:p>
    <w:p>
      <w:r>
        <w:t>The HPB suggestion that Canaan may already have been involved cannot be upgraded to certainty. Mansfield himself later says “most likely Canaan was in the transgression with Ham,” but also offers another explanation for the curse. The finished note therefore preserves Canaan’s participation as a Mansfield possibility, not as an explicit statement of Genesis 9:22.</w:t>
      </w:r>
    </w:p>
    <w:p>
      <w:pPr>
        <w:pStyle w:val="Heading2"/>
      </w:pPr>
      <w:r>
        <w:t>Genesis 9:23</w:t>
      </w:r>
    </w:p>
    <w:p>
      <w:r>
        <w:t>Shem and Japheth take a garment on their shoulders, walk backward and cover their father without looking upon his shame. Mansfield contrasts this with Ham and cites 1 Peter 4:8: love covers a multitude of sins. Their action becomes a moral and typological picture of covering rather than exposure.</w:t>
      </w:r>
    </w:p>
    <w:p>
      <w:pPr>
        <w:pStyle w:val="Heading2"/>
      </w:pPr>
      <w:r>
        <w:t>Genesis 9:24 — “what his younger son had done unto him”</w:t>
      </w:r>
    </w:p>
    <w:p>
      <w:r>
        <w:t>Mansfield treats the phrase as confirming deliberate wrongdoing. He understands the birth order here as Japheth, Shem, Ham, with Ham the younger son. Ephesians 5:13–16 is used in connection with Noah awakening and the exposure of what had occurred.</w:t>
      </w:r>
    </w:p>
    <w:p>
      <w:pPr>
        <w:pStyle w:val="Heading2"/>
      </w:pPr>
      <w:r>
        <w:t>Genesis 9:25 — “Cursed be Canaan”</w:t>
      </w:r>
    </w:p>
    <w:p>
      <w:r>
        <w:t>Mansfield asks explicitly why Canaan rather than Ham is cursed. His first suggestion is that Canaan was probably involved with Ham; his alternative is that, under the family principle, a curse on Ham’s son would recoil upon Ham himself. Exodus 20:5, 1 Kings 11:9–12 and Jeremiah 31:29 are used in discussing parental influence and consequences.</w:t>
      </w:r>
    </w:p>
    <w:p>
      <w:r>
        <w:t>He then points to the later Canaanites as morally corrupt, citing Leviticus 18:3, 25, 27–30; Deuteronomy 9:4; 12:29–31. The curse is not treated as a racial licence for oppression but within Mansfield’s moral-theological reading of the Canaanite line.</w:t>
      </w:r>
    </w:p>
    <w:p>
      <w:pPr>
        <w:pStyle w:val="Heading2"/>
      </w:pPr>
      <w:r>
        <w:t>Genesis 9:26 — “Blessed be Yahweh Elohim of Shem”</w:t>
      </w:r>
    </w:p>
    <w:p>
      <w:r>
        <w:t>Shem means “Name,” and Mansfield reads the blessing as identifying Shem’s line as the channel through which true worship and the divine Name would be preserved, ultimately through Abraham, David and Christ. The imperative sense of Canaan’s servitude is discussed as “Let Canaan be his servant / Canaan must be his servant.”</w:t>
      </w:r>
    </w:p>
    <w:p>
      <w:pPr>
        <w:pStyle w:val="Heading2"/>
      </w:pPr>
      <w:r>
        <w:t>Genesis 9:27 — “God shall enlarge Japheth”</w:t>
      </w:r>
    </w:p>
    <w:p>
      <w:r>
        <w:t>Mansfield draws the wordplay between Japheth and enlargement. “He shall dwell in the tents of Shem” uses shakan, “dwell / tabernacle,” which Mansfield interprets religiously: Gentiles are incorporated into Israel’s hope. Romans 11:17–22, Ephesians 2:12–13 and Romans 1:16 are cited.</w:t>
      </w:r>
    </w:p>
    <w:p>
      <w:pPr>
        <w:pStyle w:val="Heading2"/>
      </w:pPr>
      <w:r>
        <w:t>Genesis 9:28–29 — “all the days of Noah were nine hundred and fifty years: and he died”</w:t>
      </w:r>
    </w:p>
    <w:p>
      <w:r>
        <w:t>Noah’s 350 post-Flood years and total age of 950 are marked under “DEATH OF NOAH.” The return of “and he died” after the new beginning reinforces Mansfield’s central point: the Flood did not remove mortality, and the promised Redeemer is still required.</w:t>
      </w:r>
    </w:p>
    <w:p>
      <w:pPr>
        <w:pStyle w:val="Heading1"/>
      </w:pPr>
      <w:r>
        <w:t>PRINCIPAL THEMES</w:t>
      </w:r>
    </w:p>
    <w:p>
      <w:pPr>
        <w:spacing w:after="46"/>
      </w:pPr>
      <w:r>
        <w:rPr>
          <w:b/>
        </w:rPr>
        <w:t xml:space="preserve">Renewed order. </w:t>
      </w:r>
      <w:r>
        <w:t>Fruitfulness, human responsibility, diet and protection of life are re-established after the Flood.</w:t>
      </w:r>
    </w:p>
    <w:p>
      <w:pPr>
        <w:spacing w:after="46"/>
      </w:pPr>
      <w:r>
        <w:rPr>
          <w:b/>
        </w:rPr>
        <w:t xml:space="preserve">Life belongs to God. </w:t>
      </w:r>
      <w:r>
        <w:t>Blood represents life and is treated as sacred.</w:t>
      </w:r>
    </w:p>
    <w:p>
      <w:pPr>
        <w:spacing w:after="46"/>
      </w:pPr>
      <w:r>
        <w:rPr>
          <w:b/>
        </w:rPr>
        <w:t xml:space="preserve">Restraint of violence. </w:t>
      </w:r>
      <w:r>
        <w:t>Civil accountability for murder answers the lawlessness of the old world.</w:t>
      </w:r>
    </w:p>
    <w:p>
      <w:pPr>
        <w:spacing w:after="46"/>
      </w:pPr>
      <w:r>
        <w:rPr>
          <w:b/>
        </w:rPr>
        <w:t xml:space="preserve">Covenant initiated by God. </w:t>
      </w:r>
      <w:r>
        <w:t>The rainbow sign rests upon God’s promise to all flesh.</w:t>
      </w:r>
    </w:p>
    <w:p>
      <w:pPr>
        <w:spacing w:after="46"/>
      </w:pPr>
      <w:r>
        <w:rPr>
          <w:b/>
        </w:rPr>
        <w:t xml:space="preserve">The bow of peace. </w:t>
      </w:r>
      <w:r>
        <w:t>A weapon-symbol is transformed into a visible covenant token.</w:t>
      </w:r>
    </w:p>
    <w:p>
      <w:pPr>
        <w:spacing w:after="46"/>
      </w:pPr>
      <w:r>
        <w:rPr>
          <w:b/>
        </w:rPr>
        <w:t xml:space="preserve">Human nature unchanged. </w:t>
      </w:r>
      <w:r>
        <w:t>Noah’s failure demonstrates that a cleansed environment does not cleanse the flesh.</w:t>
      </w:r>
    </w:p>
    <w:p>
      <w:pPr>
        <w:spacing w:after="46"/>
      </w:pPr>
      <w:r>
        <w:rPr>
          <w:b/>
        </w:rPr>
        <w:t xml:space="preserve">Covering rather than exposure. </w:t>
      </w:r>
      <w:r>
        <w:t>Shem and Japheth’s action contrasts love and reverence with mockery.</w:t>
      </w:r>
    </w:p>
    <w:p>
      <w:pPr>
        <w:spacing w:after="46"/>
      </w:pPr>
      <w:r>
        <w:rPr>
          <w:b/>
        </w:rPr>
        <w:t xml:space="preserve">Shem and the Name. </w:t>
      </w:r>
      <w:r>
        <w:t>Mansfield traces true worship and future blessing through Shem.</w:t>
      </w:r>
    </w:p>
    <w:p>
      <w:pPr>
        <w:spacing w:after="46"/>
      </w:pPr>
      <w:r>
        <w:rPr>
          <w:b/>
        </w:rPr>
        <w:t xml:space="preserve">Japheth enlarged into Shem’s tents. </w:t>
      </w:r>
      <w:r>
        <w:t>Gentile participation in Israel’s hope fulfils the spiritual direction of the blessing.</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408"/>
        <w:gridCol w:w="3408"/>
        <w:gridCol w:w="3408"/>
      </w:tblGrid>
      <w:tr>
        <w:tc>
          <w:tcPr>
            <w:tcW w:type="dxa" w:w="3408"/>
          </w:tcPr>
          <w:p>
            <w:r>
              <w:rPr>
                <w:rFonts w:ascii="Times New Roman" w:hAnsi="Times New Roman"/>
                <w:b/>
                <w:sz w:val="17"/>
              </w:rPr>
              <w:t>Location</w:t>
            </w:r>
          </w:p>
        </w:tc>
        <w:tc>
          <w:tcPr>
            <w:tcW w:type="dxa" w:w="3408"/>
          </w:tcPr>
          <w:p>
            <w:r>
              <w:rPr>
                <w:rFonts w:ascii="Times New Roman" w:hAnsi="Times New Roman"/>
                <w:b/>
                <w:sz w:val="17"/>
              </w:rPr>
              <w:t>Checked / corrected reading</w:t>
            </w:r>
          </w:p>
        </w:tc>
        <w:tc>
          <w:tcPr>
            <w:tcW w:type="dxa" w:w="3408"/>
          </w:tcPr>
          <w:p>
            <w:r>
              <w:rPr>
                <w:rFonts w:ascii="Times New Roman" w:hAnsi="Times New Roman"/>
                <w:b/>
                <w:sz w:val="17"/>
              </w:rPr>
              <w:t>Basis</w:t>
            </w:r>
          </w:p>
        </w:tc>
      </w:tr>
      <w:tr>
        <w:tc>
          <w:tcPr>
            <w:tcW w:type="dxa" w:w="3408"/>
            <w:vAlign w:val="top"/>
          </w:tcPr>
          <w:p>
            <w:r>
              <w:rPr>
                <w:rFonts w:ascii="Times New Roman" w:hAnsi="Times New Roman"/>
                <w:sz w:val="16"/>
              </w:rPr>
              <w:t>Gen. 9:4</w:t>
            </w:r>
          </w:p>
        </w:tc>
        <w:tc>
          <w:tcPr>
            <w:tcW w:type="dxa" w:w="3408"/>
            <w:vAlign w:val="top"/>
          </w:tcPr>
          <w:p>
            <w:r>
              <w:rPr>
                <w:rFonts w:ascii="Times New Roman" w:hAnsi="Times New Roman"/>
                <w:sz w:val="16"/>
              </w:rPr>
              <w:t>nephesh — life/soul; Lev. 17:11</w:t>
            </w:r>
          </w:p>
        </w:tc>
        <w:tc>
          <w:tcPr>
            <w:tcW w:type="dxa" w:w="3408"/>
            <w:vAlign w:val="top"/>
          </w:tcPr>
          <w:p>
            <w:r>
              <w:rPr>
                <w:rFonts w:ascii="Times New Roman" w:hAnsi="Times New Roman"/>
                <w:sz w:val="16"/>
              </w:rPr>
              <w:t>Reference and lexical point checked.</w:t>
            </w:r>
          </w:p>
        </w:tc>
      </w:tr>
      <w:tr>
        <w:tc>
          <w:tcPr>
            <w:tcW w:type="dxa" w:w="3408"/>
            <w:vAlign w:val="top"/>
          </w:tcPr>
          <w:p>
            <w:r>
              <w:rPr>
                <w:rFonts w:ascii="Times New Roman" w:hAnsi="Times New Roman"/>
                <w:sz w:val="16"/>
              </w:rPr>
              <w:t>Gen. 9:5</w:t>
            </w:r>
          </w:p>
        </w:tc>
        <w:tc>
          <w:tcPr>
            <w:tcW w:type="dxa" w:w="3408"/>
            <w:vAlign w:val="top"/>
          </w:tcPr>
          <w:p>
            <w:r>
              <w:rPr>
                <w:rFonts w:ascii="Times New Roman" w:hAnsi="Times New Roman"/>
                <w:sz w:val="16"/>
              </w:rPr>
              <w:t>Numbers 25:31–33 → Numbers 35:31–33</w:t>
            </w:r>
          </w:p>
        </w:tc>
        <w:tc>
          <w:tcPr>
            <w:tcW w:type="dxa" w:w="3408"/>
            <w:vAlign w:val="top"/>
          </w:tcPr>
          <w:p>
            <w:r>
              <w:rPr>
                <w:rFonts w:ascii="Times New Roman" w:hAnsi="Times New Roman"/>
                <w:sz w:val="16"/>
              </w:rPr>
              <w:t>The printed reference is impossible; Numbers 35:31–33 directly concerns ransom for a murderer and blood-guilt.</w:t>
            </w:r>
          </w:p>
        </w:tc>
      </w:tr>
      <w:tr>
        <w:tc>
          <w:tcPr>
            <w:tcW w:type="dxa" w:w="3408"/>
            <w:vAlign w:val="top"/>
          </w:tcPr>
          <w:p>
            <w:r>
              <w:rPr>
                <w:rFonts w:ascii="Times New Roman" w:hAnsi="Times New Roman"/>
                <w:sz w:val="16"/>
              </w:rPr>
              <w:t>Gen. 9:5</w:t>
            </w:r>
          </w:p>
        </w:tc>
        <w:tc>
          <w:tcPr>
            <w:tcW w:type="dxa" w:w="3408"/>
            <w:vAlign w:val="top"/>
          </w:tcPr>
          <w:p>
            <w:r>
              <w:rPr>
                <w:rFonts w:ascii="Times New Roman" w:hAnsi="Times New Roman"/>
                <w:sz w:val="16"/>
              </w:rPr>
              <w:t>Amos 1:9; Num. 35:12; Deut. 19:6; Heb. 2:14</w:t>
            </w:r>
          </w:p>
        </w:tc>
        <w:tc>
          <w:tcPr>
            <w:tcW w:type="dxa" w:w="3408"/>
            <w:vAlign w:val="top"/>
          </w:tcPr>
          <w:p>
            <w:r>
              <w:rPr>
                <w:rFonts w:ascii="Times New Roman" w:hAnsi="Times New Roman"/>
                <w:sz w:val="16"/>
              </w:rPr>
              <w:t>Checks the brotherly-covenant / family-redeemer chain.</w:t>
            </w:r>
          </w:p>
        </w:tc>
      </w:tr>
      <w:tr>
        <w:tc>
          <w:tcPr>
            <w:tcW w:type="dxa" w:w="3408"/>
            <w:vAlign w:val="top"/>
          </w:tcPr>
          <w:p>
            <w:r>
              <w:rPr>
                <w:rFonts w:ascii="Times New Roman" w:hAnsi="Times New Roman"/>
                <w:sz w:val="16"/>
              </w:rPr>
              <w:t>Gen. 9:13</w:t>
            </w:r>
          </w:p>
        </w:tc>
        <w:tc>
          <w:tcPr>
            <w:tcW w:type="dxa" w:w="3408"/>
            <w:vAlign w:val="top"/>
          </w:tcPr>
          <w:p>
            <w:r>
              <w:rPr>
                <w:rFonts w:ascii="Times New Roman" w:hAnsi="Times New Roman"/>
                <w:sz w:val="16"/>
              </w:rPr>
              <w:t>nathan — appoint/grant; qesheth — bow</w:t>
            </w:r>
          </w:p>
        </w:tc>
        <w:tc>
          <w:tcPr>
            <w:tcW w:type="dxa" w:w="3408"/>
            <w:vAlign w:val="top"/>
          </w:tcPr>
          <w:p>
            <w:r>
              <w:rPr>
                <w:rFonts w:ascii="Times New Roman" w:hAnsi="Times New Roman"/>
                <w:sz w:val="16"/>
              </w:rPr>
              <w:t>Recovered from Mansfield’s published Expositor.</w:t>
            </w:r>
          </w:p>
        </w:tc>
      </w:tr>
      <w:tr>
        <w:tc>
          <w:tcPr>
            <w:tcW w:type="dxa" w:w="3408"/>
            <w:vAlign w:val="top"/>
          </w:tcPr>
          <w:p>
            <w:r>
              <w:rPr>
                <w:rFonts w:ascii="Times New Roman" w:hAnsi="Times New Roman"/>
                <w:sz w:val="16"/>
              </w:rPr>
              <w:t>Gen. 9:13</w:t>
            </w:r>
          </w:p>
        </w:tc>
        <w:tc>
          <w:tcPr>
            <w:tcW w:type="dxa" w:w="3408"/>
            <w:vAlign w:val="top"/>
          </w:tcPr>
          <w:p>
            <w:r>
              <w:rPr>
                <w:rFonts w:ascii="Times New Roman" w:hAnsi="Times New Roman"/>
                <w:sz w:val="16"/>
              </w:rPr>
              <w:t>berith — covenant; Jer. 34:18</w:t>
            </w:r>
          </w:p>
        </w:tc>
        <w:tc>
          <w:tcPr>
            <w:tcW w:type="dxa" w:w="3408"/>
            <w:vAlign w:val="top"/>
          </w:tcPr>
          <w:p>
            <w:r>
              <w:rPr>
                <w:rFonts w:ascii="Times New Roman" w:hAnsi="Times New Roman"/>
                <w:sz w:val="16"/>
              </w:rPr>
              <w:t>Recovers Mansfield’s covenant-cutting note.</w:t>
            </w:r>
          </w:p>
        </w:tc>
      </w:tr>
      <w:tr>
        <w:tc>
          <w:tcPr>
            <w:tcW w:type="dxa" w:w="3408"/>
            <w:vAlign w:val="top"/>
          </w:tcPr>
          <w:p>
            <w:r>
              <w:rPr>
                <w:rFonts w:ascii="Times New Roman" w:hAnsi="Times New Roman"/>
                <w:sz w:val="16"/>
              </w:rPr>
              <w:t>Gen. 9:22</w:t>
            </w:r>
          </w:p>
        </w:tc>
        <w:tc>
          <w:tcPr>
            <w:tcW w:type="dxa" w:w="3408"/>
            <w:vAlign w:val="top"/>
          </w:tcPr>
          <w:p>
            <w:r>
              <w:rPr>
                <w:rFonts w:ascii="Times New Roman" w:hAnsi="Times New Roman"/>
                <w:sz w:val="16"/>
              </w:rPr>
              <w:t>ervah — nakedness/shame; Hab. 2:15–16; Prov. 14:9; Rom. 1:32</w:t>
            </w:r>
          </w:p>
        </w:tc>
        <w:tc>
          <w:tcPr>
            <w:tcW w:type="dxa" w:w="3408"/>
            <w:vAlign w:val="top"/>
          </w:tcPr>
          <w:p>
            <w:r>
              <w:rPr>
                <w:rFonts w:ascii="Times New Roman" w:hAnsi="Times New Roman"/>
                <w:sz w:val="16"/>
              </w:rPr>
              <w:t>Clarifies that Mansfield reads Ham’s act as mockery/exposure, not accidental seeing.</w:t>
            </w:r>
          </w:p>
        </w:tc>
      </w:tr>
      <w:tr>
        <w:tc>
          <w:tcPr>
            <w:tcW w:type="dxa" w:w="3408"/>
            <w:vAlign w:val="top"/>
          </w:tcPr>
          <w:p>
            <w:r>
              <w:rPr>
                <w:rFonts w:ascii="Times New Roman" w:hAnsi="Times New Roman"/>
                <w:sz w:val="16"/>
              </w:rPr>
              <w:t>Gen. 9:25</w:t>
            </w:r>
          </w:p>
        </w:tc>
        <w:tc>
          <w:tcPr>
            <w:tcW w:type="dxa" w:w="3408"/>
            <w:vAlign w:val="top"/>
          </w:tcPr>
          <w:p>
            <w:r>
              <w:rPr>
                <w:rFonts w:ascii="Times New Roman" w:hAnsi="Times New Roman"/>
                <w:sz w:val="16"/>
              </w:rPr>
              <w:t>Canaan’s involvement remains probable, not stated</w:t>
            </w:r>
          </w:p>
        </w:tc>
        <w:tc>
          <w:tcPr>
            <w:tcW w:type="dxa" w:w="3408"/>
            <w:vAlign w:val="top"/>
          </w:tcPr>
          <w:p>
            <w:r>
              <w:rPr>
                <w:rFonts w:ascii="Times New Roman" w:hAnsi="Times New Roman"/>
                <w:sz w:val="16"/>
              </w:rPr>
              <w:t>Mansfield himself offers two explanations for why Canaan is cursed.</w:t>
            </w:r>
          </w:p>
        </w:tc>
      </w:tr>
      <w:tr>
        <w:tc>
          <w:tcPr>
            <w:tcW w:type="dxa" w:w="3408"/>
            <w:vAlign w:val="top"/>
          </w:tcPr>
          <w:p>
            <w:r>
              <w:rPr>
                <w:rFonts w:ascii="Times New Roman" w:hAnsi="Times New Roman"/>
                <w:sz w:val="16"/>
              </w:rPr>
              <w:t>Gen. 9:27</w:t>
            </w:r>
          </w:p>
        </w:tc>
        <w:tc>
          <w:tcPr>
            <w:tcW w:type="dxa" w:w="3408"/>
            <w:vAlign w:val="top"/>
          </w:tcPr>
          <w:p>
            <w:r>
              <w:rPr>
                <w:rFonts w:ascii="Times New Roman" w:hAnsi="Times New Roman"/>
                <w:sz w:val="16"/>
              </w:rPr>
              <w:t>shakan — dwell/tabernacle; Rom. 11:17–22; Eph. 2:12–13</w:t>
            </w:r>
          </w:p>
        </w:tc>
        <w:tc>
          <w:tcPr>
            <w:tcW w:type="dxa" w:w="3408"/>
            <w:vAlign w:val="top"/>
          </w:tcPr>
          <w:p>
            <w:r>
              <w:rPr>
                <w:rFonts w:ascii="Times New Roman" w:hAnsi="Times New Roman"/>
                <w:sz w:val="16"/>
              </w:rPr>
              <w:t>Recovers the Japheth-in-Shem’s-tents application.</w:t>
            </w:r>
          </w:p>
        </w:tc>
      </w:tr>
    </w:tbl>
    <w:p>
      <w:pPr>
        <w:pStyle w:val="Heading1"/>
      </w:pPr>
      <w:r>
        <w:t>RESIDUAL UNCERTAINTIES</w:t>
      </w:r>
    </w:p>
    <w:p>
      <w:pPr>
        <w:pStyle w:val="ListBullet"/>
        <w:spacing w:after="32"/>
      </w:pPr>
      <w:r>
        <w:t>the exact wording of Mansfield’s copied Leonard Woolley archaeological paragraph;</w:t>
      </w:r>
    </w:p>
    <w:p>
      <w:pPr>
        <w:pStyle w:val="ListBullet"/>
        <w:spacing w:after="32"/>
      </w:pPr>
      <w:r>
        <w:t>several tiny HPB references surrounding the rainbow/glory note, beyond the secure Revelation 4:3 and Malachi 4:2 links;</w:t>
      </w:r>
    </w:p>
    <w:p>
      <w:pPr>
        <w:pStyle w:val="ListBullet"/>
        <w:spacing w:after="32"/>
      </w:pPr>
      <w:r>
        <w:t>the exact degree of Canaan’s participation in Genesis 9:22, which Mansfield presents only as a probability;</w:t>
      </w:r>
    </w:p>
    <w:p>
      <w:pPr>
        <w:pStyle w:val="ListBullet"/>
        <w:spacing w:after="32"/>
      </w:pPr>
      <w:r>
        <w:t>some minor handwritten cross-references attached to the later Canaanite nations.</w:t>
      </w:r>
    </w:p>
    <w:p>
      <w:r>
        <w:t>These are left explicit rather than guessed. The corrected Numbers reference is a genuine textual-reference correction, not an interpretive substitution.</w:t>
      </w:r>
    </w:p>
    <w:sectPr w:rsidR="00FC693F" w:rsidRPr="0006063C" w:rsidSect="00034616">
      <w:headerReference w:type="default" r:id="rId9"/>
      <w:footerReference w:type="default" r:id="rId10"/>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6" w:line="246"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7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24" w:after="40"/>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