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GENESIS 10</w:t>
      </w:r>
    </w:p>
    <w:p>
      <w:pPr>
        <w:pStyle w:val="Subtitle"/>
        <w:jc w:val="center"/>
      </w:pPr>
      <w:r>
        <w:t>THE DEVELOPMENT OF NATIONS • JAPHETH • HAM • SHEM</w:t>
      </w:r>
    </w:p>
    <w:p>
      <w:pPr>
        <w:jc w:val="center"/>
      </w:pPr>
      <w:r>
        <w:rPr>
          <w:i/>
          <w:sz w:val="18"/>
        </w:rPr>
        <w:t>H. P. Mansfield Bible notes — checked and arranged in verse-by-verse Expositor style</w:t>
      </w:r>
    </w:p>
    <w:p>
      <w:pPr>
        <w:jc w:val="center"/>
      </w:pPr>
      <w:r>
        <w:rPr>
          <w:sz w:val="16"/>
        </w:rPr>
        <w:t>Source: HPB 01-Gen01-Gen41.PDF, Genesis 10 photographed pages 52–53</w:t>
      </w:r>
    </w:p>
    <w:p>
      <w:pPr>
        <w:pStyle w:val="Heading1"/>
      </w:pPr>
      <w:r>
        <w:t>CHAPTER OVERVIEW</w:t>
      </w:r>
    </w:p>
    <w:p>
      <w:r>
        <w:t>Mansfield heads Genesis 10 “THE DEVELOPMENT OF NATIONS.” The descendants of Japheth, Ham and Shem are listed as the genealogical foundation of the post-Flood world and as the immediate background to Babel in Genesis 11. He repeatedly marks the structural words lands, tongues, families and nations.</w:t>
      </w:r>
    </w:p>
    <w:p>
      <w:r>
        <w:t>His published Expositor draws attention to the traditional count of seventy national lines — fourteen through Japheth, thirty through Ham and twenty-six through Shem — and compares this with Israel’s seventy persons entering Egypt (Genesis 46:27), Deuteronomy 32:8–9, and the seventy disciples sent in Luke 10:1. These numerical and geographical identifications are preserved as Mansfield’s exposition, not treated as infallible ethnography.</w:t>
      </w:r>
    </w:p>
    <w:p>
      <w:pPr>
        <w:pStyle w:val="Heading2"/>
      </w:pPr>
      <w:r>
        <w:t>Genesis 10:1 — “the generations of the sons of Noah”</w:t>
      </w:r>
    </w:p>
    <w:p>
      <w:r>
        <w:t>The names Shem, Ham and Japheth and the post-Flood birth of their sons are marked. The chapter traces how the single family preserved in the ark becomes a world of peoples, while Yahweh’s line of promise remains visible through Shem.</w:t>
      </w:r>
    </w:p>
    <w:p>
      <w:pPr>
        <w:pStyle w:val="Heading1"/>
      </w:pPr>
      <w:r>
        <w:t>DESCENDANTS OF JAPHETH — GENESIS 10:2–5</w:t>
      </w:r>
    </w:p>
    <w:p>
      <w:pPr>
        <w:pStyle w:val="Heading2"/>
      </w:pPr>
      <w:r>
        <w:t>Genesis 10:2</w:t>
      </w:r>
    </w:p>
    <w:p>
      <w:r>
        <w:t>Gomer, Magog, Madai, Javan, Tubal, Meshech and Tiras are marked. Mansfield connects the section with the enlargement promised to Japheth in Genesis 9:27 and records traditional later associations: Gomer with Cimmerian/Celtic peoples, Magog with Scythian regions, Madai with the Medes, Javan with the Greeks/Ionians, and Tubal/Meshech/Tiras with northern or European peoples. These are Mansfield’s proposed identifications and vary in certainty.</w:t>
      </w:r>
    </w:p>
    <w:p>
      <w:r>
        <w:t>Name notes recovered from his Expositor include Gomer — “Completion”; Javan — “Effervescent / hot and active”; Tubal — “brought”; Meshech — “durability.” Ezekiel 38:2–6 is among the later prophetic passages used in his comparisons.</w:t>
      </w:r>
    </w:p>
    <w:p>
      <w:pPr>
        <w:pStyle w:val="Heading2"/>
      </w:pPr>
      <w:r>
        <w:t>Genesis 10:3</w:t>
      </w:r>
    </w:p>
    <w:p>
      <w:r>
        <w:t>Ashkenaz, Riphath and Togarmah are marked. Mansfield gives Ashkenaz the proposed meaning “Collector of Fire” and notes later associations with regions north of Palestine, including a modern-expositor identification with Germany. Togarmah is linked with a stronghold and the horse-trading region of Ezekiel 27:14; 38:6. These geographical identifications remain interpretive rather than certain.</w:t>
      </w:r>
    </w:p>
    <w:p>
      <w:pPr>
        <w:pStyle w:val="Heading2"/>
      </w:pPr>
      <w:r>
        <w:t>Genesis 10:4</w:t>
      </w:r>
    </w:p>
    <w:p>
      <w:r>
        <w:t>Elishah, Tarshish, Kittim and Dodanim are marked as maritime descendants of Javan. Mansfield links Javan with Greece and the names with Mediterranean or remote trading/coastal regions.</w:t>
      </w:r>
    </w:p>
    <w:p>
      <w:r>
        <w:t>A useful textual correction is preserved: 1 Chronicles 1:7 reads “Rodanim” where Genesis 10:4 KJV reads “Dodanim.” Mansfield notes the visual similarity of Hebrew daleth and resh and treats “Rodanim” as the preferable form, associating it with Rhodes. This is a textual variant, not a change to the KJV quotation itself.</w:t>
      </w:r>
    </w:p>
    <w:p>
      <w:pPr>
        <w:pStyle w:val="Heading2"/>
      </w:pPr>
      <w:r>
        <w:t>Genesis 10:5 — “isles of the Gentiles divided”</w:t>
      </w:r>
    </w:p>
    <w:p>
      <w:r>
        <w:t>“Lands,” “tongue,” “families” and “nations” are strongly marked. Mansfield sees a progression from speech to family grouping to political nation. He compares the same vocabulary with Revelation 5:9; 7:9; 10:11; 14:6.</w:t>
      </w:r>
    </w:p>
    <w:p>
      <w:r>
        <w:t>The Hebrew “divided” here is parad, to separate/disperse. Mansfield treats the chapter as partly anticipatory: the distribution described here presupposes the confusion of tongues narrated in Genesis 11.</w:t>
      </w:r>
    </w:p>
    <w:p>
      <w:pPr>
        <w:pStyle w:val="Heading1"/>
      </w:pPr>
      <w:r>
        <w:t>DESCENDANTS OF HAM — GENESIS 10:6–20</w:t>
      </w:r>
    </w:p>
    <w:p>
      <w:pPr>
        <w:pStyle w:val="Heading2"/>
      </w:pPr>
      <w:r>
        <w:t>Genesis 10:6</w:t>
      </w:r>
    </w:p>
    <w:p>
      <w:r>
        <w:t>Cush, Mizraim, Phut and Canaan are marked. Mansfield identifies Mizraim with Egypt, Phut with Libya and Canaan with the peoples later occupying Palestine. He gives Mizraim a name-study connected with confinement/oppression and notes that the Hebrew form is dual/plural, traditionally related to Upper and Lower Egypt.</w:t>
      </w:r>
    </w:p>
    <w:p>
      <w:pPr>
        <w:pStyle w:val="Heading2"/>
      </w:pPr>
      <w:r>
        <w:t>Genesis 10:7</w:t>
      </w:r>
    </w:p>
    <w:p>
      <w:r>
        <w:t>Seba, Havilah, Sabtah, Raamah, Sabtechah, Sheba and Dedan are marked. Sheba and Dedan receive special attention because the names recur elsewhere. Mansfield places the Cushite Sheba/Raamah tradition in south-west Arabia and notes later commercial references such as Ezekiel 27:22 and 38:13. The exact ethnic relationships are left as Mansfield’s proposals.</w:t>
      </w:r>
    </w:p>
    <w:p>
      <w:pPr>
        <w:pStyle w:val="Heading2"/>
      </w:pPr>
      <w:r>
        <w:t>Genesis 10:8 — “Cush begat Nimrod”</w:t>
      </w:r>
    </w:p>
    <w:p>
      <w:r>
        <w:t>“Nimrod” and “a mighty one in the earth” are heavily marked under “NIMROD: THE FIRST EMPIRE BUILDER.” Mansfield derives Nimrod from marad, “to rebel,” giving the sense “rebel / we will rebel.” “Mighty one” is gibbor — hero, warrior or mighty man.</w:t>
      </w:r>
    </w:p>
    <w:p>
      <w:r>
        <w:t>The point is moral and political: Nimrod institutionalises rebellion and concentrates human power, reviving the hero-principle seen before the Flood.</w:t>
      </w:r>
    </w:p>
    <w:p>
      <w:pPr>
        <w:pStyle w:val="Heading2"/>
      </w:pPr>
      <w:r>
        <w:t>Genesis 10:9 — “a mighty hunter before the LORD”</w:t>
      </w:r>
    </w:p>
    <w:p>
      <w:r>
        <w:t>Mansfield explains the phrase as more than hunting animals. Nimrod is a gibbor of the chase, and Jeremiah 16:16 and Micah 7:2 are cited for hunting language applied to people. “Before Yahweh” is taken as “in His sight” and, in Mansfield’s reading, in defiance of His will.</w:t>
      </w:r>
    </w:p>
    <w:p>
      <w:pPr>
        <w:pStyle w:val="Heading2"/>
      </w:pPr>
      <w:r>
        <w:t>Genesis 10:10 — “the beginning of his kingdom was Babel”</w:t>
      </w:r>
    </w:p>
    <w:p>
      <w:r>
        <w:t>Babel, Erech, Accad, Calneh and Shinar are strongly marked. Mansfield compares Nimrod with Cain: city-building becomes the centre of organised political and religious power apart from God. The note prepares directly for the tower narrative in Genesis 11.</w:t>
      </w:r>
    </w:p>
    <w:p>
      <w:pPr>
        <w:pStyle w:val="Heading2"/>
      </w:pPr>
      <w:r>
        <w:t>Genesis 10:11–12</w:t>
      </w:r>
    </w:p>
    <w:p>
      <w:r>
        <w:t>Asshur, Nineveh, Rehoboth, Calah and Resen are marked. Mansfield follows the spread of imperial city-power into Assyria and treats the cluster as part of the expansion of Nimrod’s pattern. The precise archaeological identification of Resen in the HPB margin remains uncertain.</w:t>
      </w:r>
    </w:p>
    <w:p>
      <w:pPr>
        <w:pStyle w:val="Heading2"/>
      </w:pPr>
      <w:r>
        <w:t>Genesis 10:13–14</w:t>
      </w:r>
    </w:p>
    <w:p>
      <w:r>
        <w:t>The Mizraimite groups — Ludim, Anamim, Lehabim, Naphtuhim, Pathrusim, Casluhim and Caphtorim — are marked. Mansfield records traditional regional associations but the photographed abbreviations are too compressed to make every identification secure. The parenthetical Philistine/Caphtorim wording is retained exactly as Scripture presents it rather than harmonised editorially.</w:t>
      </w:r>
    </w:p>
    <w:p>
      <w:pPr>
        <w:pStyle w:val="Heading2"/>
      </w:pPr>
      <w:r>
        <w:t>Genesis 10:15</w:t>
      </w:r>
    </w:p>
    <w:p>
      <w:r>
        <w:t>“Canaan begat Sidon his firstborn, and Heth” is marked. Sidon and Heth are important because their descendants become prominent in the later history of the land.</w:t>
      </w:r>
    </w:p>
    <w:p>
      <w:pPr>
        <w:pStyle w:val="Heading2"/>
      </w:pPr>
      <w:r>
        <w:t>Genesis 10:16–18</w:t>
      </w:r>
    </w:p>
    <w:p>
      <w:r>
        <w:t>Jebusite, Amorite, Girgasite, Hivite, Arkite, Sinite, Arvadite, Zemarite and Hamathite are marked. Mansfield treats these as the genealogical background of peoples later encountered in and around Canaan.</w:t>
      </w:r>
    </w:p>
    <w:p>
      <w:pPr>
        <w:pStyle w:val="Heading2"/>
      </w:pPr>
      <w:r>
        <w:t>Genesis 10:19</w:t>
      </w:r>
    </w:p>
    <w:p>
      <w:r>
        <w:t>“Border of the Canaanites” and the line from Sidon toward Gaza and the cities of the plain are strongly marked. The verse is used primarily as a territorial boundary statement rather than as a name-etymology list.</w:t>
      </w:r>
    </w:p>
    <w:p>
      <w:pPr>
        <w:pStyle w:val="Heading2"/>
      </w:pPr>
      <w:r>
        <w:t>Genesis 10:20</w:t>
      </w:r>
    </w:p>
    <w:p>
      <w:r>
        <w:t>The recurring formula “families ... tongues ... countries ... nations” closes Ham’s section and reinforces Mansfield’s structural reading of the chapter.</w:t>
      </w:r>
    </w:p>
    <w:p>
      <w:pPr>
        <w:pStyle w:val="Heading1"/>
      </w:pPr>
      <w:r>
        <w:t>DESCENDANTS OF SHEM — GENESIS 10:21–32</w:t>
      </w:r>
    </w:p>
    <w:p>
      <w:pPr>
        <w:pStyle w:val="Heading2"/>
      </w:pPr>
      <w:r>
        <w:t>Genesis 10:21</w:t>
      </w:r>
    </w:p>
    <w:p>
      <w:r>
        <w:t>“Shem,” “father of all the children of Eber,” and “brother of Japheth the elder” are marked. Mansfield reads Japheth as the elder and stresses that Shem’s line is listed last because it is the line through which the narrative will narrow toward Eber and Abraham.</w:t>
      </w:r>
    </w:p>
    <w:p>
      <w:pPr>
        <w:pStyle w:val="Heading2"/>
      </w:pPr>
      <w:r>
        <w:t>Genesis 10:22–23</w:t>
      </w:r>
    </w:p>
    <w:p>
      <w:r>
        <w:t>Elam, Asshur, Arphaxad, Lud and Aram, followed by Uz, Hul, Gether and Mash, are marked. Mansfield records proposed meanings and geographical associations, but many are conjectural; only the names and the narrowing genealogical function are treated as firm.</w:t>
      </w:r>
    </w:p>
    <w:p>
      <w:pPr>
        <w:pStyle w:val="Heading2"/>
      </w:pPr>
      <w:r>
        <w:t>Genesis 10:24 — “Arphaxad begat Salah; and Salah begat Eber”</w:t>
      </w:r>
    </w:p>
    <w:p>
      <w:r>
        <w:t>The line now moves directly toward Eber. Mansfield gives Eber the sense “to cross over” and treats him as the name-source associated with “Hebrew.”</w:t>
      </w:r>
    </w:p>
    <w:p>
      <w:r>
        <w:t>The HPB note concerning Cainan can be recovered as a textual/genealogical variant: the Septuagint inserts Cainan between Arphaxad and Salah, and Luke 3:36 likewise contains Cainan in that position. The Hebrew Masoretic text and KJV Genesis 10:24 omit him. The Word edition therefore records the variant without altering the KJV genealogy.</w:t>
      </w:r>
    </w:p>
    <w:p>
      <w:pPr>
        <w:pStyle w:val="Heading2"/>
      </w:pPr>
      <w:r>
        <w:t>Genesis 10:25 — “Peleg... in his days was the earth divided”</w:t>
      </w:r>
    </w:p>
    <w:p>
      <w:r>
        <w:t>Peleg is strongly marked and means “division”; the related Hebrew verb here is palag, to divide. Mansfield interprets the division in the context of peoples and territory associated with Babel, not as continental geology.</w:t>
      </w:r>
    </w:p>
    <w:p>
      <w:r>
        <w:t>A correction is needed to Mansfield’s printed comparative note: Genesis 10:5 and 10:32 both use forms of parad, “separate / disperse,” whereas Genesis 10:25 uses palag. The supporting text’s statement that verse 32 uses “cachar” is not supported by the Hebrew and is corrected here.</w:t>
      </w:r>
    </w:p>
    <w:p>
      <w:pPr>
        <w:pStyle w:val="Heading2"/>
      </w:pPr>
      <w:r>
        <w:t>Genesis 10:26–29</w:t>
      </w:r>
    </w:p>
    <w:p>
      <w:r>
        <w:t>Joktan’s sons — Almodad, Sheleph, Hazarmaveth, Jerah, Hadoram, Uzal, Diklah, Obal, Abimael, Sheba, Ophir, Havilah and Jobab — are carefully marked. Mansfield places many of them in Arabian/southern contexts and particularly highlights Sheba and Ophir because of their later biblical prominence. The precise modern locations are retained as uncertain where the HPB shorthand cannot be securely read.</w:t>
      </w:r>
    </w:p>
    <w:p>
      <w:pPr>
        <w:pStyle w:val="Heading2"/>
      </w:pPr>
      <w:r>
        <w:t>Genesis 10:30</w:t>
      </w:r>
    </w:p>
    <w:p>
      <w:r>
        <w:t>Mesha, Sephar and “a mount of the east” are marked as a boundary statement for Joktan’s descendants. Mansfield’s detailed map-equivalents remain conjectural.</w:t>
      </w:r>
    </w:p>
    <w:p>
      <w:pPr>
        <w:pStyle w:val="Heading2"/>
      </w:pPr>
      <w:r>
        <w:t>Genesis 10:31</w:t>
      </w:r>
    </w:p>
    <w:p>
      <w:r>
        <w:t>“Families,” “tongues,” “lands” and “nations” are again emphasised, closing the Shemite section with the same fourfold vocabulary.</w:t>
      </w:r>
    </w:p>
    <w:p>
      <w:pPr>
        <w:pStyle w:val="Heading2"/>
      </w:pPr>
      <w:r>
        <w:t>Genesis 10:32 — “by these were the nations divided in the earth after the flood”</w:t>
      </w:r>
    </w:p>
    <w:p>
      <w:r>
        <w:t>The closing formula is heavily marked. As at verse 5, the Hebrew verb is from parad, “to separate / disperse.” The chapter therefore closes the table of nations and hands the reader directly to the explanation of the linguistic dispersion in Genesis 11.</w:t>
      </w:r>
    </w:p>
    <w:p>
      <w:pPr>
        <w:pStyle w:val="Heading1"/>
      </w:pPr>
      <w:r>
        <w:t>THE CROWDED CEMETERY OF HISTORY</w:t>
      </w:r>
    </w:p>
    <w:p>
      <w:r>
        <w:t>Mansfield’s lower-page meditation observes that kings, wise men, merchants, armies and societies rise and disappear. Reputation fades, but Yahweh’s purpose continues through the centuries. The genealogical chapter is therefore not merely a list of names: human power passes while the line relevant to the divine promise is preserved.</w:t>
      </w:r>
    </w:p>
    <w:p>
      <w:pPr>
        <w:pStyle w:val="Heading1"/>
      </w:pPr>
      <w:r>
        <w:t>PRINCIPAL THEMES</w:t>
      </w:r>
    </w:p>
    <w:p>
      <w:pPr>
        <w:spacing w:after="42"/>
      </w:pPr>
      <w:r>
        <w:rPr>
          <w:b/>
        </w:rPr>
        <w:t xml:space="preserve">One family becomes nations. </w:t>
      </w:r>
      <w:r>
        <w:t>All post-Flood peoples arise from the family saved in the ark.</w:t>
      </w:r>
    </w:p>
    <w:p>
      <w:pPr>
        <w:spacing w:after="42"/>
      </w:pPr>
      <w:r>
        <w:rPr>
          <w:b/>
        </w:rPr>
        <w:t xml:space="preserve">Japheth enlarged. </w:t>
      </w:r>
      <w:r>
        <w:t>Mansfield traces spreading northern and maritime peoples through Japheth.</w:t>
      </w:r>
    </w:p>
    <w:p>
      <w:pPr>
        <w:spacing w:after="42"/>
      </w:pPr>
      <w:r>
        <w:rPr>
          <w:b/>
        </w:rPr>
        <w:t xml:space="preserve">Ham and early imperial power. </w:t>
      </w:r>
      <w:r>
        <w:t>Major early civilisations and especially Nimrod dominate the Hamite section.</w:t>
      </w:r>
    </w:p>
    <w:p>
      <w:pPr>
        <w:spacing w:after="42"/>
      </w:pPr>
      <w:r>
        <w:rPr>
          <w:b/>
        </w:rPr>
        <w:t xml:space="preserve">Nimrod the rebel. </w:t>
      </w:r>
      <w:r>
        <w:t>City, empire and coercive human power become organised apart from God.</w:t>
      </w:r>
    </w:p>
    <w:p>
      <w:pPr>
        <w:spacing w:after="42"/>
      </w:pPr>
      <w:r>
        <w:rPr>
          <w:b/>
        </w:rPr>
        <w:t xml:space="preserve">Shem preserved last. </w:t>
      </w:r>
      <w:r>
        <w:t>The genealogy narrows through Eber toward Abraham and the line of promise.</w:t>
      </w:r>
    </w:p>
    <w:p>
      <w:pPr>
        <w:spacing w:after="42"/>
      </w:pPr>
      <w:r>
        <w:rPr>
          <w:b/>
        </w:rPr>
        <w:t xml:space="preserve">Tongues, families, lands and nations. </w:t>
      </w:r>
      <w:r>
        <w:t>This repeated structure explains the organisation of the post-Babel world.</w:t>
      </w:r>
    </w:p>
    <w:p>
      <w:pPr>
        <w:spacing w:after="42"/>
      </w:pPr>
      <w:r>
        <w:rPr>
          <w:b/>
        </w:rPr>
        <w:t xml:space="preserve">Peleg and dispersion. </w:t>
      </w:r>
      <w:r>
        <w:t>The division is human/geographical within the Babel context, not a geological claim.</w:t>
      </w:r>
    </w:p>
    <w:p>
      <w:pPr>
        <w:spacing w:after="42"/>
      </w:pPr>
      <w:r>
        <w:rPr>
          <w:b/>
        </w:rPr>
        <w:t xml:space="preserve">Human history passes. </w:t>
      </w:r>
      <w:r>
        <w:t>Nations rise and fall while the divine purpose continues.</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427"/>
        <w:gridCol w:w="3427"/>
        <w:gridCol w:w="3427"/>
      </w:tblGrid>
      <w:tr>
        <w:tc>
          <w:tcPr>
            <w:tcW w:type="dxa" w:w="3427"/>
          </w:tcPr>
          <w:p>
            <w:r>
              <w:rPr>
                <w:rFonts w:ascii="Times New Roman" w:hAnsi="Times New Roman"/>
                <w:b/>
                <w:sz w:val="16"/>
              </w:rPr>
              <w:t>Location</w:t>
            </w:r>
          </w:p>
        </w:tc>
        <w:tc>
          <w:tcPr>
            <w:tcW w:type="dxa" w:w="3427"/>
          </w:tcPr>
          <w:p>
            <w:r>
              <w:rPr>
                <w:rFonts w:ascii="Times New Roman" w:hAnsi="Times New Roman"/>
                <w:b/>
                <w:sz w:val="16"/>
              </w:rPr>
              <w:t>Checked / corrected reading</w:t>
            </w:r>
          </w:p>
        </w:tc>
        <w:tc>
          <w:tcPr>
            <w:tcW w:type="dxa" w:w="3427"/>
          </w:tcPr>
          <w:p>
            <w:r>
              <w:rPr>
                <w:rFonts w:ascii="Times New Roman" w:hAnsi="Times New Roman"/>
                <w:b/>
                <w:sz w:val="16"/>
              </w:rPr>
              <w:t>Basis</w:t>
            </w:r>
          </w:p>
        </w:tc>
      </w:tr>
      <w:tr>
        <w:tc>
          <w:tcPr>
            <w:tcW w:type="dxa" w:w="3427"/>
            <w:vAlign w:val="top"/>
          </w:tcPr>
          <w:p>
            <w:r>
              <w:rPr>
                <w:rFonts w:ascii="Times New Roman" w:hAnsi="Times New Roman"/>
                <w:sz w:val="16"/>
              </w:rPr>
              <w:t>Gen. 10 overview</w:t>
            </w:r>
          </w:p>
        </w:tc>
        <w:tc>
          <w:tcPr>
            <w:tcW w:type="dxa" w:w="3427"/>
            <w:vAlign w:val="top"/>
          </w:tcPr>
          <w:p>
            <w:r>
              <w:rPr>
                <w:rFonts w:ascii="Times New Roman" w:hAnsi="Times New Roman"/>
                <w:sz w:val="16"/>
              </w:rPr>
              <w:t>70 national lines: 14 Japheth, 30 Ham, 26 Shem; Gen. 46:27; Deut. 32:8–9; Luke 10:1</w:t>
            </w:r>
          </w:p>
        </w:tc>
        <w:tc>
          <w:tcPr>
            <w:tcW w:type="dxa" w:w="3427"/>
            <w:vAlign w:val="top"/>
          </w:tcPr>
          <w:p>
            <w:r>
              <w:rPr>
                <w:rFonts w:ascii="Times New Roman" w:hAnsi="Times New Roman"/>
                <w:sz w:val="16"/>
              </w:rPr>
              <w:t>Recovered from Mansfield’s published Expositor as his numerical framework.</w:t>
            </w:r>
          </w:p>
        </w:tc>
      </w:tr>
      <w:tr>
        <w:tc>
          <w:tcPr>
            <w:tcW w:type="dxa" w:w="3427"/>
            <w:vAlign w:val="top"/>
          </w:tcPr>
          <w:p>
            <w:r>
              <w:rPr>
                <w:rFonts w:ascii="Times New Roman" w:hAnsi="Times New Roman"/>
                <w:sz w:val="16"/>
              </w:rPr>
              <w:t>Gen. 10:4</w:t>
            </w:r>
          </w:p>
        </w:tc>
        <w:tc>
          <w:tcPr>
            <w:tcW w:type="dxa" w:w="3427"/>
            <w:vAlign w:val="top"/>
          </w:tcPr>
          <w:p>
            <w:r>
              <w:rPr>
                <w:rFonts w:ascii="Times New Roman" w:hAnsi="Times New Roman"/>
                <w:sz w:val="16"/>
              </w:rPr>
              <w:t>Dodanim / Rodanim — 1 Chronicles 1:7</w:t>
            </w:r>
          </w:p>
        </w:tc>
        <w:tc>
          <w:tcPr>
            <w:tcW w:type="dxa" w:w="3427"/>
            <w:vAlign w:val="top"/>
          </w:tcPr>
          <w:p>
            <w:r>
              <w:rPr>
                <w:rFonts w:ascii="Times New Roman" w:hAnsi="Times New Roman"/>
                <w:sz w:val="16"/>
              </w:rPr>
              <w:t>Mansfield notes the Hebrew D/R copyist possibility; recorded as a textual variant.</w:t>
            </w:r>
          </w:p>
        </w:tc>
      </w:tr>
      <w:tr>
        <w:tc>
          <w:tcPr>
            <w:tcW w:type="dxa" w:w="3427"/>
            <w:vAlign w:val="top"/>
          </w:tcPr>
          <w:p>
            <w:r>
              <w:rPr>
                <w:rFonts w:ascii="Times New Roman" w:hAnsi="Times New Roman"/>
                <w:sz w:val="16"/>
              </w:rPr>
              <w:t>Gen. 10:5,32</w:t>
            </w:r>
          </w:p>
        </w:tc>
        <w:tc>
          <w:tcPr>
            <w:tcW w:type="dxa" w:w="3427"/>
            <w:vAlign w:val="top"/>
          </w:tcPr>
          <w:p>
            <w:r>
              <w:rPr>
                <w:rFonts w:ascii="Times New Roman" w:hAnsi="Times New Roman"/>
                <w:sz w:val="16"/>
              </w:rPr>
              <w:t>parad — separate/disperse</w:t>
            </w:r>
          </w:p>
        </w:tc>
        <w:tc>
          <w:tcPr>
            <w:tcW w:type="dxa" w:w="3427"/>
            <w:vAlign w:val="top"/>
          </w:tcPr>
          <w:p>
            <w:r>
              <w:rPr>
                <w:rFonts w:ascii="Times New Roman" w:hAnsi="Times New Roman"/>
                <w:sz w:val="16"/>
              </w:rPr>
              <w:t>Both verses use the same root; anticipates Genesis 11 dispersion.</w:t>
            </w:r>
          </w:p>
        </w:tc>
      </w:tr>
      <w:tr>
        <w:tc>
          <w:tcPr>
            <w:tcW w:type="dxa" w:w="3427"/>
            <w:vAlign w:val="top"/>
          </w:tcPr>
          <w:p>
            <w:r>
              <w:rPr>
                <w:rFonts w:ascii="Times New Roman" w:hAnsi="Times New Roman"/>
                <w:sz w:val="16"/>
              </w:rPr>
              <w:t>Gen. 10:8–9</w:t>
            </w:r>
          </w:p>
        </w:tc>
        <w:tc>
          <w:tcPr>
            <w:tcW w:type="dxa" w:w="3427"/>
            <w:vAlign w:val="top"/>
          </w:tcPr>
          <w:p>
            <w:r>
              <w:rPr>
                <w:rFonts w:ascii="Times New Roman" w:hAnsi="Times New Roman"/>
                <w:sz w:val="16"/>
              </w:rPr>
              <w:t>Nimrod from marad — rebel; gibbor — mighty man/warrior</w:t>
            </w:r>
          </w:p>
        </w:tc>
        <w:tc>
          <w:tcPr>
            <w:tcW w:type="dxa" w:w="3427"/>
            <w:vAlign w:val="top"/>
          </w:tcPr>
          <w:p>
            <w:r>
              <w:rPr>
                <w:rFonts w:ascii="Times New Roman" w:hAnsi="Times New Roman"/>
                <w:sz w:val="16"/>
              </w:rPr>
              <w:t>Recovers the obscured Nimrod/hunter note.</w:t>
            </w:r>
          </w:p>
        </w:tc>
      </w:tr>
      <w:tr>
        <w:tc>
          <w:tcPr>
            <w:tcW w:type="dxa" w:w="3427"/>
            <w:vAlign w:val="top"/>
          </w:tcPr>
          <w:p>
            <w:r>
              <w:rPr>
                <w:rFonts w:ascii="Times New Roman" w:hAnsi="Times New Roman"/>
                <w:sz w:val="16"/>
              </w:rPr>
              <w:t>Gen. 10:9</w:t>
            </w:r>
          </w:p>
        </w:tc>
        <w:tc>
          <w:tcPr>
            <w:tcW w:type="dxa" w:w="3427"/>
            <w:vAlign w:val="top"/>
          </w:tcPr>
          <w:p>
            <w:r>
              <w:rPr>
                <w:rFonts w:ascii="Times New Roman" w:hAnsi="Times New Roman"/>
                <w:sz w:val="16"/>
              </w:rPr>
              <w:t>Jer. 16:16; Mic. 7:2</w:t>
            </w:r>
          </w:p>
        </w:tc>
        <w:tc>
          <w:tcPr>
            <w:tcW w:type="dxa" w:w="3427"/>
            <w:vAlign w:val="top"/>
          </w:tcPr>
          <w:p>
            <w:r>
              <w:rPr>
                <w:rFonts w:ascii="Times New Roman" w:hAnsi="Times New Roman"/>
                <w:sz w:val="16"/>
              </w:rPr>
              <w:t>Checks Mansfield’s extension of hunting language to people.</w:t>
            </w:r>
          </w:p>
        </w:tc>
      </w:tr>
      <w:tr>
        <w:tc>
          <w:tcPr>
            <w:tcW w:type="dxa" w:w="3427"/>
            <w:vAlign w:val="top"/>
          </w:tcPr>
          <w:p>
            <w:r>
              <w:rPr>
                <w:rFonts w:ascii="Times New Roman" w:hAnsi="Times New Roman"/>
                <w:sz w:val="16"/>
              </w:rPr>
              <w:t>Gen. 10:24</w:t>
            </w:r>
          </w:p>
        </w:tc>
        <w:tc>
          <w:tcPr>
            <w:tcW w:type="dxa" w:w="3427"/>
            <w:vAlign w:val="top"/>
          </w:tcPr>
          <w:p>
            <w:r>
              <w:rPr>
                <w:rFonts w:ascii="Times New Roman" w:hAnsi="Times New Roman"/>
                <w:sz w:val="16"/>
              </w:rPr>
              <w:t>LXX and Luke 3:36 insert Cainan between Arphaxad and Salah</w:t>
            </w:r>
          </w:p>
        </w:tc>
        <w:tc>
          <w:tcPr>
            <w:tcW w:type="dxa" w:w="3427"/>
            <w:vAlign w:val="top"/>
          </w:tcPr>
          <w:p>
            <w:r>
              <w:rPr>
                <w:rFonts w:ascii="Times New Roman" w:hAnsi="Times New Roman"/>
                <w:sz w:val="16"/>
              </w:rPr>
              <w:t>Recovers the uncertain Cainan/New Testament note without altering KJV Genesis.</w:t>
            </w:r>
          </w:p>
        </w:tc>
      </w:tr>
      <w:tr>
        <w:tc>
          <w:tcPr>
            <w:tcW w:type="dxa" w:w="3427"/>
            <w:vAlign w:val="top"/>
          </w:tcPr>
          <w:p>
            <w:r>
              <w:rPr>
                <w:rFonts w:ascii="Times New Roman" w:hAnsi="Times New Roman"/>
                <w:sz w:val="16"/>
              </w:rPr>
              <w:t>Gen. 10:25</w:t>
            </w:r>
          </w:p>
        </w:tc>
        <w:tc>
          <w:tcPr>
            <w:tcW w:type="dxa" w:w="3427"/>
            <w:vAlign w:val="top"/>
          </w:tcPr>
          <w:p>
            <w:r>
              <w:rPr>
                <w:rFonts w:ascii="Times New Roman" w:hAnsi="Times New Roman"/>
                <w:sz w:val="16"/>
              </w:rPr>
              <w:t>palag — divide; Peleg — division</w:t>
            </w:r>
          </w:p>
        </w:tc>
        <w:tc>
          <w:tcPr>
            <w:tcW w:type="dxa" w:w="3427"/>
            <w:vAlign w:val="top"/>
          </w:tcPr>
          <w:p>
            <w:r>
              <w:rPr>
                <w:rFonts w:ascii="Times New Roman" w:hAnsi="Times New Roman"/>
                <w:sz w:val="16"/>
              </w:rPr>
              <w:t>Correct Hebrew root for the verse.</w:t>
            </w:r>
          </w:p>
        </w:tc>
      </w:tr>
      <w:tr>
        <w:tc>
          <w:tcPr>
            <w:tcW w:type="dxa" w:w="3427"/>
            <w:vAlign w:val="top"/>
          </w:tcPr>
          <w:p>
            <w:r>
              <w:rPr>
                <w:rFonts w:ascii="Times New Roman" w:hAnsi="Times New Roman"/>
                <w:sz w:val="16"/>
              </w:rPr>
              <w:t>Gen. 10:32</w:t>
            </w:r>
          </w:p>
        </w:tc>
        <w:tc>
          <w:tcPr>
            <w:tcW w:type="dxa" w:w="3427"/>
            <w:vAlign w:val="top"/>
          </w:tcPr>
          <w:p>
            <w:r>
              <w:rPr>
                <w:rFonts w:ascii="Times New Roman" w:hAnsi="Times New Roman"/>
                <w:sz w:val="16"/>
              </w:rPr>
              <w:t>printed “cachar” → parad</w:t>
            </w:r>
          </w:p>
        </w:tc>
        <w:tc>
          <w:tcPr>
            <w:tcW w:type="dxa" w:w="3427"/>
            <w:vAlign w:val="top"/>
          </w:tcPr>
          <w:p>
            <w:r>
              <w:rPr>
                <w:rFonts w:ascii="Times New Roman" w:hAnsi="Times New Roman"/>
                <w:sz w:val="16"/>
              </w:rPr>
              <w:t>Corrects a lexical error in the supporting Mansfield text; v. 32 repeats the parad root of v. 5.</w:t>
            </w:r>
          </w:p>
        </w:tc>
      </w:tr>
    </w:tbl>
    <w:p>
      <w:pPr>
        <w:pStyle w:val="Heading1"/>
      </w:pPr>
      <w:r>
        <w:t>RESIDUAL UNCERTAINTIES</w:t>
      </w:r>
    </w:p>
    <w:p>
      <w:pPr>
        <w:pStyle w:val="ListBullet"/>
        <w:spacing w:after="28"/>
      </w:pPr>
      <w:r>
        <w:t>many proposed modern ethnological identifications beside Japheth’s descendants;</w:t>
      </w:r>
    </w:p>
    <w:p>
      <w:pPr>
        <w:pStyle w:val="ListBullet"/>
        <w:spacing w:after="28"/>
      </w:pPr>
      <w:r>
        <w:t>several name meanings in the Hamite and Shemite lists where Mansfield relies on older lexicons;</w:t>
      </w:r>
    </w:p>
    <w:p>
      <w:pPr>
        <w:pStyle w:val="ListBullet"/>
        <w:spacing w:after="28"/>
      </w:pPr>
      <w:r>
        <w:t>the exact archaeological wording surrounding Resen and some Mesopotamian sites;</w:t>
      </w:r>
    </w:p>
    <w:p>
      <w:pPr>
        <w:pStyle w:val="ListBullet"/>
        <w:spacing w:after="28"/>
      </w:pPr>
      <w:r>
        <w:t>a number of Arabian map-identifications beside Joktan’s descendants;</w:t>
      </w:r>
    </w:p>
    <w:p>
      <w:pPr>
        <w:pStyle w:val="ListBullet"/>
        <w:spacing w:after="28"/>
      </w:pPr>
      <w:r>
        <w:t>individual wording in the lower-page “cemetery of history” meditation.</w:t>
      </w:r>
    </w:p>
    <w:p>
      <w:r>
        <w:t>These proposals are preserved as Mansfield’s notes where useful but are not silently normalised into modern ethnic certainty. The Cainan and parad/palag points above are textual/lexical corrections supported by the underlying biblical evidence.</w:t>
      </w:r>
    </w:p>
    <w:sectPr w:rsidR="00FC693F" w:rsidRPr="0006063C" w:rsidSect="00034616">
      <w:headerReference w:type="default" r:id="rId9"/>
      <w:footerReference w:type="default" r:id="rId10"/>
      <w:pgSz w:w="12240" w:h="15840"/>
      <w:pgMar w:top="806" w:right="979" w:bottom="806"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6"/>
      </w:rPr>
      <w:t>H. P. MANSFIELD BIBLE NOTES  •  GENESIS 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70" w:line="245" w:lineRule="auto"/>
    </w:pPr>
    <w:rPr>
      <w:rFonts w:ascii="Times New Roman" w:hAnsi="Times New Roman" w:eastAsia="Times New Roman"/>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50" w:after="60"/>
      <w:outlineLvl w:val="0"/>
    </w:pPr>
    <w:rPr>
      <w:rFonts w:asciiTheme="majorHAnsi" w:eastAsiaTheme="majorEastAsia" w:hAnsiTheme="majorHAnsi" w:cstheme="majorBidi" w:ascii="Times New Roman" w:hAnsi="Times New Roman" w:eastAsia="Times New Roman"/>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116" w:after="36"/>
      <w:outlineLvl w:val="1"/>
    </w:pPr>
    <w:rPr>
      <w:rFonts w:asciiTheme="majorHAnsi" w:eastAsiaTheme="majorEastAsia" w:hAnsiTheme="majorHAnsi" w:cstheme="majorBidi" w:ascii="Times New Roman" w:hAnsi="Times New Roman" w:eastAsia="Times New Roman"/>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eastAsia="Times New Roman"/>
      <w:b/>
      <w:i/>
      <w:iCs/>
      <w:color w:val="4F81BD" w:themeColor="accent1"/>
      <w:spacing w:val="15"/>
      <w:sz w:val="23"/>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