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GENESIS 11</w:t>
      </w:r>
    </w:p>
    <w:p>
      <w:pPr>
        <w:pStyle w:val="Subtitle"/>
        <w:jc w:val="center"/>
      </w:pPr>
      <w:r>
        <w:t>BABEL • THE CONFUSION OF TONGUES • THE LINE TO ABRAM</w:t>
      </w:r>
    </w:p>
    <w:p>
      <w:pPr>
        <w:jc w:val="center"/>
      </w:pPr>
      <w:r>
        <w:rPr>
          <w:i/>
          <w:sz w:val="18"/>
        </w:rPr>
        <w:t>H. P. Mansfield Bible notes — checked and arranged in verse-by-verse Expositor style</w:t>
      </w:r>
    </w:p>
    <w:p>
      <w:pPr>
        <w:jc w:val="center"/>
      </w:pPr>
      <w:r>
        <w:rPr>
          <w:sz w:val="16"/>
        </w:rPr>
        <w:t>Source: HPB 01-Gen01-Gen41.PDF, Genesis 11 photographed pages 53–55 and inserted Ur/chronology studies</w:t>
      </w:r>
    </w:p>
    <w:p>
      <w:pPr>
        <w:pStyle w:val="Heading1"/>
      </w:pPr>
      <w:r>
        <w:t>CHAPTER OVERVIEW</w:t>
      </w:r>
    </w:p>
    <w:p>
      <w:r>
        <w:t>Mansfield lists “THREE IMPORTANT EVENTS OF CHAPTER 11”: the building of Babel, the confusion of tongues, and the call of Abram. Their consequences are the peopling of the earth, preservation of true religion, and continuation of the line through which Messiah should come.</w:t>
      </w:r>
    </w:p>
    <w:p>
      <w:r>
        <w:t>The chapter therefore moves from false human unity to divinely directed separation. Babel seeks one name and one centre in rebellion; Yahweh scatters the nations, then narrows the record through Shem to a single family called out of Mesopotamian idolatry. Zephaniah 3:9 supplies the future contrast: Babel’s confused speech will ultimately give way to a “pure language” in unified worship.</w:t>
      </w:r>
    </w:p>
    <w:p>
      <w:pPr>
        <w:pStyle w:val="Heading1"/>
      </w:pPr>
      <w:r>
        <w:t>BABEL AND THE SCATTERING — GENESIS 11:1–9</w:t>
      </w:r>
    </w:p>
    <w:p>
      <w:pPr>
        <w:pStyle w:val="Heading2"/>
      </w:pPr>
      <w:r>
        <w:t>Genesis 11:1 — “the whole earth was of one language, and of one speech”</w:t>
      </w:r>
    </w:p>
    <w:p>
      <w:r>
        <w:t>The verse is heavily marked. Mansfield understands not merely linguistic sameness but unity of ideas and purpose. He contrasts unity in rebellion with unity in truth: Acts 2:8, 1 Corinthians 1:10 and Zephaniah 3:9 are used to show communication restored to serve divine worship rather than human self-exaltation.</w:t>
      </w:r>
    </w:p>
    <w:p>
      <w:pPr>
        <w:pStyle w:val="Heading2"/>
      </w:pPr>
      <w:r>
        <w:t>Genesis 11:2 — “as they journeyed from the east”</w:t>
      </w:r>
    </w:p>
    <w:p>
      <w:r>
        <w:t>“Journeyed from the east,” “Shinar” and “dwelt there” are marked. Mansfield notes the marginal rendering “to the east” but prefers the text’s “from the east,” suggesting movement away from an earlier centre associated with worship. The precise HPB wording remains uncertain, so the geographical inference is retained as Mansfield’s interpretation rather than made absolute.</w:t>
      </w:r>
    </w:p>
    <w:p>
      <w:r>
        <w:t>Shinar is treated as the Mesopotamian plain in which Babylonian opposition to the divine purpose would develop.</w:t>
      </w:r>
    </w:p>
    <w:p>
      <w:pPr>
        <w:pStyle w:val="Heading2"/>
      </w:pPr>
      <w:r>
        <w:t>Genesis 11:3 — “let us make brick, and burn them throughly”</w:t>
      </w:r>
    </w:p>
    <w:p>
      <w:r>
        <w:t>Brick-making, thorough burning, substitution of brick for stone, and slime for mortar are marked. Mansfield’s published Expositor identifies “slime” as hemar, bitumen/asphalt. He contrasts man-made brick with stone supplied by God, citing Exodus 20:25 and Isaiah 65:3, and applies the contrast to humanly designed worship versus a spiritual house of living stones (1 Peter 2:4–5).</w:t>
      </w:r>
    </w:p>
    <w:p>
      <w:pPr>
        <w:pStyle w:val="Heading2"/>
      </w:pPr>
      <w:r>
        <w:t>Genesis 11:4 — “build us a city and a tower... make us a name”</w:t>
      </w:r>
    </w:p>
    <w:p>
      <w:r>
        <w:t>The city, tower, heavenward aspiration, self-made name, and fear of scattering are strongly marked. Mansfield compares the city-building with Cain (Genesis 4:17) and the imperial programme of Nimrod. Centralisation is the strength of the project; dispersion is the divine intention.</w:t>
      </w:r>
    </w:p>
    <w:p>
      <w:r>
        <w:t>The tower is identified as a ziggurat, a stepped temple-tower of Mesopotamia. Mansfield’s copied archaeological material notes that ancient inscriptions themselves could describe such structures as “reaching to heaven.” The phrase therefore denotes exceptional height and religious aspiration rather than literal access to God’s dwelling; Deuteronomy 1:28 is cited for similarly hyperbolic “up to heaven” language.</w:t>
      </w:r>
    </w:p>
    <w:p>
      <w:r>
        <w:t>“Name” is shem. The builders seek a name for themselves in contrast to the people God calls “for his name” (Acts 15:14) and the one saving name in Acts 4:12. Psalm 49:11–13 is used against human attempts to perpetuate one’s own name.</w:t>
      </w:r>
    </w:p>
    <w:p>
      <w:pPr>
        <w:pStyle w:val="Heading2"/>
      </w:pPr>
      <w:r>
        <w:t>Genesis 11:5 — “the LORD came down to see the city and the tower”</w:t>
      </w:r>
    </w:p>
    <w:p>
      <w:r>
        <w:t>The divine descent is marked as the answer to human ascent. Mansfield contrasts what flesh builds with the city “whose builder and maker is God” (Hebrews 11:10), and with the developing house of God in Hebrews 3:6, Galatians 4:26 and Revelation 21:2, 10.</w:t>
      </w:r>
    </w:p>
    <w:p>
      <w:pPr>
        <w:pStyle w:val="Heading2"/>
      </w:pPr>
      <w:r>
        <w:t>Genesis 11:6 — “the people is one... nothing will be restrained from them”</w:t>
      </w:r>
    </w:p>
    <w:p>
      <w:r>
        <w:t>“One people,” “one language,” “began to do,” and “nothing will be restrained” are marked. Unity itself is not condemned: John 17:21 and 1 Corinthians 1:10 show its value when founded on divine truth. Babel demonstrates the danger of complete co-operation when the common purpose is evil.</w:t>
      </w:r>
    </w:p>
    <w:p>
      <w:r>
        <w:t>Mansfield associates the ziggurat with organised false worship and probably Nimrod’s leadership. The precise astrological wording in the HPB margin remains partly unreadable, though the published material supports a ziggurat shrine connected with heavenly/zodiacal worship.</w:t>
      </w:r>
    </w:p>
    <w:p>
      <w:pPr>
        <w:pStyle w:val="Heading2"/>
      </w:pPr>
      <w:r>
        <w:t>Genesis 11:7 — “let us go down, and there confound their language”</w:t>
      </w:r>
    </w:p>
    <w:p>
      <w:r>
        <w:t>The ironic divine “Go to” answers the builders’ “Go to.” Mansfield understands the plural “us” through the Elohim, as in Genesis 1:26. Zechariah 4:10 is cited for divine agents as the “eyes of Yahweh.”</w:t>
      </w:r>
    </w:p>
    <w:p>
      <w:r>
        <w:t>The multiplication of speech is the instrument by which false unity is broken. Mansfield contrasts it with the future use of a common/pure speech for the worship of Yahweh.</w:t>
      </w:r>
    </w:p>
    <w:p>
      <w:pPr>
        <w:pStyle w:val="Heading2"/>
      </w:pPr>
      <w:r>
        <w:t>Genesis 11:8 — “the LORD scattered them abroad”</w:t>
      </w:r>
    </w:p>
    <w:p>
      <w:r>
        <w:t>“Scattered them abroad” and the cessation of building are heavily marked. The Hebrew verb Mansfield gives is puts/pus, carrying ideas of scattering or dispersing. Confused communication destroys the co-operation on which the project depended, forcing the geographical spread resisted in verse 4.</w:t>
      </w:r>
    </w:p>
    <w:p>
      <w:pPr>
        <w:pStyle w:val="Heading2"/>
      </w:pPr>
      <w:r>
        <w:t>Genesis 11:9 — “Therefore is the name of it called Babel”</w:t>
      </w:r>
    </w:p>
    <w:p>
      <w:r>
        <w:t>Babel, confusion and scattering are marked. Mansfield distinguishes the name’s Babylonian/Aramaic religious sense — traditionally “gate of god” — from the Hebrew wordplay with balal, “to confuse / mingle.” The theological contrast is between a system that claims to be a gate to God and, from the biblical perspective, produces confusion.</w:t>
      </w:r>
    </w:p>
    <w:p>
      <w:r>
        <w:t>Babylon is the Greek form of Babel, so Mansfield carries the pattern into Revelation 17:5. In contrast, divine truth ultimately unites rather than confuses.</w:t>
      </w:r>
    </w:p>
    <w:p>
      <w:pPr>
        <w:pStyle w:val="Heading1"/>
      </w:pPr>
      <w:r>
        <w:t>THE GENERATIONS OF SHEM — GENESIS 11:10–26</w:t>
      </w:r>
    </w:p>
    <w:p>
      <w:r>
        <w:t>Mansfield heads this section “THE SEPARATION OF A PEOPLE FOR THE NAME.” The genealogy repeats and narrows the Shemite line from Genesis 10, now following Peleg rather than Joktan until it reaches Terah and Abram. As Noah is tenth from Adam, Mansfield notes Terah as tenth from Shem; both lists culminate in three named sons.</w:t>
      </w:r>
    </w:p>
    <w:p>
      <w:pPr>
        <w:pStyle w:val="Heading2"/>
      </w:pPr>
      <w:r>
        <w:t>Genesis 11:10–15</w:t>
      </w:r>
    </w:p>
    <w:p>
      <w:r>
        <w:t>Shem, Arphaxad, Salah and Eber are marked with their ages. The textual issue previously noted at Genesis 10:24 applies here too: the Septuagint inserts Cainan between Arphaxad and Salah, while the Masoretic Hebrew and KJV Genesis omit him; Luke 3:36 includes Cainan. This variant is recorded but does not alter the KJV text used in the notes.</w:t>
      </w:r>
    </w:p>
    <w:p>
      <w:pPr>
        <w:pStyle w:val="Heading2"/>
      </w:pPr>
      <w:r>
        <w:t>Genesis 11:16–19</w:t>
      </w:r>
    </w:p>
    <w:p>
      <w:r>
        <w:t>Eber, Peleg and Reu are marked. Peleg continues the “division” connection of Genesis 10:25. Mansfield gives Reu the sense “Friend” and notes that Luke 3:35 gives the Greek form Ragau.</w:t>
      </w:r>
    </w:p>
    <w:p>
      <w:pPr>
        <w:pStyle w:val="Heading2"/>
      </w:pPr>
      <w:r>
        <w:t>Genesis 11:20–23</w:t>
      </w:r>
    </w:p>
    <w:p>
      <w:r>
        <w:t>Serug and Nahor are marked. Mansfield gives Serug the sense “Shoot / Tendril” and notes the Greek Saruch in Luke 3:35. Nahor is Abram’s grandfather in this verse-group; Mansfield’s older lexical note gives his name the proposed meaning “Snorer.”</w:t>
      </w:r>
    </w:p>
    <w:p>
      <w:pPr>
        <w:pStyle w:val="Heading2"/>
      </w:pPr>
      <w:r>
        <w:t>Genesis 11:24–26 — “Terah... Abram, Nahor, and Haran”</w:t>
      </w:r>
    </w:p>
    <w:p>
      <w:r>
        <w:t>Terah and the three sons are strongly marked. Mansfield associates Terah with “turn / tarry / delay” and uses Joshua 24:2 to note the family’s idolatrous background.</w:t>
      </w:r>
    </w:p>
    <w:p>
      <w:r>
        <w:t>A chronology problem is explicitly resolved: verse 26 does not require Abram to be the son born when Terah was seventy. Genesis 11:32 gives Terah’s death at 205; Genesis 12:4 makes Abram 75 when he leaves Haran; Acts 7:4 places the move after Terah’s death. On Mansfield’s reading, Abram was therefore born when Terah was about 130, and is listed first because of narrative/spiritual prominence, just as Shem can be listed before the elder Japheth.</w:t>
      </w:r>
    </w:p>
    <w:p>
      <w:pPr>
        <w:pStyle w:val="Heading1"/>
      </w:pPr>
      <w:r>
        <w:t>TERAH’S FAMILY AND THE FIRST CALL — GENESIS 11:27–32</w:t>
      </w:r>
    </w:p>
    <w:p>
      <w:pPr>
        <w:pStyle w:val="Heading2"/>
      </w:pPr>
      <w:r>
        <w:t>Genesis 11:27</w:t>
      </w:r>
    </w:p>
    <w:p>
      <w:r>
        <w:t>Terah, Abram, Nahor, Haran and Lot are marked. Mansfield’s adjacent Haran study describes the city as a major commercial centre on the route between Mesopotamia and the west, and as a centre of the moon-god cult, paralleling Ur.</w:t>
      </w:r>
    </w:p>
    <w:p>
      <w:pPr>
        <w:pStyle w:val="Heading2"/>
      </w:pPr>
      <w:r>
        <w:t>Genesis 11:28 — “Haran died... in Ur of the Chaldees”</w:t>
      </w:r>
    </w:p>
    <w:p>
      <w:r>
        <w:t>Ur is strongly marked and expanded by the inserted Ur/Sumer/Akkad study. Mansfield presents Ur as a wealthy, highly developed Mesopotamian city whose principal cult was associated with the moon god. The point is important to the call narrative: Abram is summoned from an advanced urban and religious system, not from an isolated primitive settlement.</w:t>
      </w:r>
    </w:p>
    <w:p>
      <w:r>
        <w:t>The map traces Ur north-west toward Haran and then south-west toward Canaan along the Fertile Crescent. Detailed identifications on the inserted archaeological sheet are preserved as study material but not all can be recovered from the handwriting with certainty.</w:t>
      </w:r>
    </w:p>
    <w:p>
      <w:pPr>
        <w:pStyle w:val="Heading2"/>
      </w:pPr>
      <w:r>
        <w:t>Genesis 11:29</w:t>
      </w:r>
    </w:p>
    <w:p>
      <w:r>
        <w:t>Abram and Nahor taking wives, with Sarai and Milcah named, are marked. The family relationships matter throughout the following patriarchal narratives and are therefore preserved carefully rather than reduced to a bare genealogy.</w:t>
      </w:r>
    </w:p>
    <w:p>
      <w:pPr>
        <w:pStyle w:val="Heading2"/>
      </w:pPr>
      <w:r>
        <w:t>Genesis 11:30 — “Sarai was barren; she had no child”</w:t>
      </w:r>
    </w:p>
    <w:p>
      <w:r>
        <w:t>The statement is prominently marked. Mansfield treats the deliberate introduction of barrenness as preparation for divine promise: the coming seed will depend upon faith and divine power, not ordinary human capability. Hebrews 11:11, Isaiah 54:1, Psalm 113:9, Luke 1:36–37 and 1 Samuel 2:5 form the supporting chain.</w:t>
      </w:r>
    </w:p>
    <w:p>
      <w:pPr>
        <w:pStyle w:val="Heading2"/>
      </w:pPr>
      <w:r>
        <w:t>Genesis 11:31 — “they went forth... from Ur of the Chaldees”</w:t>
      </w:r>
    </w:p>
    <w:p>
      <w:r>
        <w:t>Mansfield corrects any idea that the call originated only in Haran. Acts 7:2 and Genesis 15:7 state that the divine call came while Abram was in Mesopotamia/Ur; Isaiah 51:2 stresses Abram’s individual call. Terah then takes the initiative in the family migration.</w:t>
      </w:r>
    </w:p>
    <w:p>
      <w:r>
        <w:t>The Hebrew el in “to go into the land of Canaan” is noted as “toward.” The family reaches Haran and “dwelt there,” a settled delay. Mansfield uses Terah’s name and character typologically: family/fleshly influence delayed Abram’s complete response until Terah died.</w:t>
      </w:r>
    </w:p>
    <w:p>
      <w:pPr>
        <w:pStyle w:val="Heading2"/>
      </w:pPr>
      <w:r>
        <w:t>Genesis 11:32 — “Terah died in Haran”</w:t>
      </w:r>
    </w:p>
    <w:p>
      <w:r>
        <w:t>Terah’s 205 years and death in Haran are marked. Acts 7:4 then supplies the transition into Genesis 12: after his father’s death Abram proceeds into Canaan. Mansfield compares the death of Terah’s delaying influence with putting to death the old man of the flesh (Romans 6:6).</w:t>
      </w:r>
    </w:p>
    <w:p>
      <w:pPr>
        <w:pStyle w:val="Heading1"/>
      </w:pPr>
      <w:r>
        <w:t>INSERTED STUDIES: UR, SUMER, AKKAD AND CHRONOLOGY</w:t>
      </w:r>
    </w:p>
    <w:p>
      <w:r>
        <w:t>The inserted historical sheets document Ur’s urban culture, the Euphrates/Tigris environment, Sumerian and Akkadian city-states, Nimrod’s imperial background, and a route map through the Fertile Crescent. Mansfield uses the material to show the strength of the civilisation from which Abram was called and the cost of separation involved.</w:t>
      </w:r>
    </w:p>
    <w:p>
      <w:r>
        <w:t>A separate Genesis chronology extends through Abraham, Isaac, Jacob, Joseph and the Exodus. Because most of that chart belongs to later chapters, only the chapter-11 synchronisms are used here; uncertain later calculations are not silently imported into this chapter.</w:t>
      </w:r>
    </w:p>
    <w:p>
      <w:pPr>
        <w:pStyle w:val="Heading1"/>
      </w:pPr>
      <w:r>
        <w:t>PRINCIPAL THEMES</w:t>
      </w:r>
    </w:p>
    <w:p>
      <w:pPr>
        <w:spacing w:after="40"/>
      </w:pPr>
      <w:r>
        <w:rPr>
          <w:b/>
        </w:rPr>
        <w:t xml:space="preserve">False unity. </w:t>
      </w:r>
      <w:r>
        <w:t>Babel demonstrates that unity without God can become organised rebellion.</w:t>
      </w:r>
    </w:p>
    <w:p>
      <w:pPr>
        <w:spacing w:after="40"/>
      </w:pPr>
      <w:r>
        <w:rPr>
          <w:b/>
        </w:rPr>
        <w:t xml:space="preserve">Human ascent, divine descent. </w:t>
      </w:r>
      <w:r>
        <w:t>“Let us go up” is answered by “Let us go down.”</w:t>
      </w:r>
    </w:p>
    <w:p>
      <w:pPr>
        <w:spacing w:after="40"/>
      </w:pPr>
      <w:r>
        <w:rPr>
          <w:b/>
        </w:rPr>
        <w:t xml:space="preserve">Speech as power. </w:t>
      </w:r>
      <w:r>
        <w:t>One language enables co-operation; confused language forces dispersion.</w:t>
      </w:r>
    </w:p>
    <w:p>
      <w:pPr>
        <w:spacing w:after="40"/>
      </w:pPr>
      <w:r>
        <w:rPr>
          <w:b/>
        </w:rPr>
        <w:t xml:space="preserve">A future pure language. </w:t>
      </w:r>
      <w:r>
        <w:t>Zephaniah 3:9 reverses Babel’s divisiveness under divine rule.</w:t>
      </w:r>
    </w:p>
    <w:p>
      <w:pPr>
        <w:spacing w:after="40"/>
      </w:pPr>
      <w:r>
        <w:rPr>
          <w:b/>
        </w:rPr>
        <w:t xml:space="preserve">From nations to one family. </w:t>
      </w:r>
      <w:r>
        <w:t>The genealogy progressively narrows toward Abram.</w:t>
      </w:r>
    </w:p>
    <w:p>
      <w:pPr>
        <w:spacing w:after="40"/>
      </w:pPr>
      <w:r>
        <w:rPr>
          <w:b/>
        </w:rPr>
        <w:t xml:space="preserve">The people for the Name. </w:t>
      </w:r>
      <w:r>
        <w:t>Shem’s line is preserved as the channel of the promised purpose.</w:t>
      </w:r>
    </w:p>
    <w:p>
      <w:pPr>
        <w:spacing w:after="40"/>
      </w:pPr>
      <w:r>
        <w:rPr>
          <w:b/>
        </w:rPr>
        <w:t xml:space="preserve">Call out of civilisation and idolatry. </w:t>
      </w:r>
      <w:r>
        <w:t>Ur and Haran represent sophisticated Mesopotamian culture and moon worship.</w:t>
      </w:r>
    </w:p>
    <w:p>
      <w:pPr>
        <w:spacing w:after="40"/>
      </w:pPr>
      <w:r>
        <w:rPr>
          <w:b/>
        </w:rPr>
        <w:t xml:space="preserve">Barrenness before promise. </w:t>
      </w:r>
      <w:r>
        <w:t>Sarai’s inability makes the later seed a work of divine power.</w:t>
      </w:r>
    </w:p>
    <w:p>
      <w:pPr>
        <w:spacing w:after="40"/>
      </w:pPr>
      <w:r>
        <w:rPr>
          <w:b/>
        </w:rPr>
        <w:t xml:space="preserve">Separation requires completion. </w:t>
      </w:r>
      <w:r>
        <w:t>Abram receives the call in Ur but completes the movement only after the delaying family influence is removed.</w:t>
      </w:r>
    </w:p>
    <w:p>
      <w:pPr>
        <w:pStyle w:val="Heading1"/>
        <w:pageBreakBefore/>
      </w:pPr>
      <w:r>
        <w:t>EDITORIAL VERIFICATION AND RECOVERED READINGS</w:t>
      </w:r>
    </w:p>
    <w:tbl>
      <w:tblPr>
        <w:tblStyle w:val="TableGrid"/>
        <w:tblW w:type="auto" w:w="0"/>
        <w:jc w:val="center"/>
        <w:tblLook w:firstColumn="1" w:firstRow="1" w:lastColumn="0" w:lastRow="0" w:noHBand="0" w:noVBand="1" w:val="04A0"/>
      </w:tblPr>
      <w:tblGrid>
        <w:gridCol w:w="3427"/>
        <w:gridCol w:w="3427"/>
        <w:gridCol w:w="3427"/>
      </w:tblGrid>
      <w:tr>
        <w:tc>
          <w:tcPr>
            <w:tcW w:type="dxa" w:w="3427"/>
          </w:tcPr>
          <w:p>
            <w:r>
              <w:rPr>
                <w:rFonts w:ascii="Times New Roman" w:hAnsi="Times New Roman"/>
                <w:b/>
                <w:sz w:val="16"/>
              </w:rPr>
              <w:t>Location</w:t>
            </w:r>
          </w:p>
        </w:tc>
        <w:tc>
          <w:tcPr>
            <w:tcW w:type="dxa" w:w="3427"/>
          </w:tcPr>
          <w:p>
            <w:r>
              <w:rPr>
                <w:rFonts w:ascii="Times New Roman" w:hAnsi="Times New Roman"/>
                <w:b/>
                <w:sz w:val="16"/>
              </w:rPr>
              <w:t>Checked / corrected reading</w:t>
            </w:r>
          </w:p>
        </w:tc>
        <w:tc>
          <w:tcPr>
            <w:tcW w:type="dxa" w:w="3427"/>
          </w:tcPr>
          <w:p>
            <w:r>
              <w:rPr>
                <w:rFonts w:ascii="Times New Roman" w:hAnsi="Times New Roman"/>
                <w:b/>
                <w:sz w:val="16"/>
              </w:rPr>
              <w:t>Basis</w:t>
            </w:r>
          </w:p>
        </w:tc>
      </w:tr>
      <w:tr>
        <w:tc>
          <w:tcPr>
            <w:tcW w:type="dxa" w:w="3427"/>
            <w:vAlign w:val="top"/>
          </w:tcPr>
          <w:p>
            <w:r>
              <w:rPr>
                <w:rFonts w:ascii="Times New Roman" w:hAnsi="Times New Roman"/>
                <w:sz w:val="16"/>
              </w:rPr>
              <w:t>Gen. 11 overview</w:t>
            </w:r>
          </w:p>
        </w:tc>
        <w:tc>
          <w:tcPr>
            <w:tcW w:type="dxa" w:w="3427"/>
            <w:vAlign w:val="top"/>
          </w:tcPr>
          <w:p>
            <w:r>
              <w:rPr>
                <w:rFonts w:ascii="Times New Roman" w:hAnsi="Times New Roman"/>
                <w:sz w:val="16"/>
              </w:rPr>
              <w:t>Acts 2:8; 1 Cor. 1:10; Zeph. 3:9; Zech. 8:23</w:t>
            </w:r>
          </w:p>
        </w:tc>
        <w:tc>
          <w:tcPr>
            <w:tcW w:type="dxa" w:w="3427"/>
            <w:vAlign w:val="top"/>
          </w:tcPr>
          <w:p>
            <w:r>
              <w:rPr>
                <w:rFonts w:ascii="Times New Roman" w:hAnsi="Times New Roman"/>
                <w:sz w:val="16"/>
              </w:rPr>
              <w:t>Checks Mansfield’s Babel/future-unity reference chain.</w:t>
            </w:r>
          </w:p>
        </w:tc>
      </w:tr>
      <w:tr>
        <w:tc>
          <w:tcPr>
            <w:tcW w:type="dxa" w:w="3427"/>
            <w:vAlign w:val="top"/>
          </w:tcPr>
          <w:p>
            <w:r>
              <w:rPr>
                <w:rFonts w:ascii="Times New Roman" w:hAnsi="Times New Roman"/>
                <w:sz w:val="16"/>
              </w:rPr>
              <w:t>Gen. 11:3</w:t>
            </w:r>
          </w:p>
        </w:tc>
        <w:tc>
          <w:tcPr>
            <w:tcW w:type="dxa" w:w="3427"/>
            <w:vAlign w:val="top"/>
          </w:tcPr>
          <w:p>
            <w:r>
              <w:rPr>
                <w:rFonts w:ascii="Times New Roman" w:hAnsi="Times New Roman"/>
                <w:sz w:val="16"/>
              </w:rPr>
              <w:t>hemar — bitumen/asphalt; Exod. 20:25; Isa. 65:3</w:t>
            </w:r>
          </w:p>
        </w:tc>
        <w:tc>
          <w:tcPr>
            <w:tcW w:type="dxa" w:w="3427"/>
            <w:vAlign w:val="top"/>
          </w:tcPr>
          <w:p>
            <w:r>
              <w:rPr>
                <w:rFonts w:ascii="Times New Roman" w:hAnsi="Times New Roman"/>
                <w:sz w:val="16"/>
              </w:rPr>
              <w:t>Recovers the building-material note and contrast.</w:t>
            </w:r>
          </w:p>
        </w:tc>
      </w:tr>
      <w:tr>
        <w:tc>
          <w:tcPr>
            <w:tcW w:type="dxa" w:w="3427"/>
            <w:vAlign w:val="top"/>
          </w:tcPr>
          <w:p>
            <w:r>
              <w:rPr>
                <w:rFonts w:ascii="Times New Roman" w:hAnsi="Times New Roman"/>
                <w:sz w:val="16"/>
              </w:rPr>
              <w:t>Gen. 11:4</w:t>
            </w:r>
          </w:p>
        </w:tc>
        <w:tc>
          <w:tcPr>
            <w:tcW w:type="dxa" w:w="3427"/>
            <w:vAlign w:val="top"/>
          </w:tcPr>
          <w:p>
            <w:r>
              <w:rPr>
                <w:rFonts w:ascii="Times New Roman" w:hAnsi="Times New Roman"/>
                <w:sz w:val="16"/>
              </w:rPr>
              <w:t>Deut. 1:28; shem — name; Acts 15:14; Acts 4:12</w:t>
            </w:r>
          </w:p>
        </w:tc>
        <w:tc>
          <w:tcPr>
            <w:tcW w:type="dxa" w:w="3427"/>
            <w:vAlign w:val="top"/>
          </w:tcPr>
          <w:p>
            <w:r>
              <w:rPr>
                <w:rFonts w:ascii="Times New Roman" w:hAnsi="Times New Roman"/>
                <w:sz w:val="16"/>
              </w:rPr>
              <w:t>Checks the “reach heaven” idiom and self-made-name contrast.</w:t>
            </w:r>
          </w:p>
        </w:tc>
      </w:tr>
      <w:tr>
        <w:tc>
          <w:tcPr>
            <w:tcW w:type="dxa" w:w="3427"/>
            <w:vAlign w:val="top"/>
          </w:tcPr>
          <w:p>
            <w:r>
              <w:rPr>
                <w:rFonts w:ascii="Times New Roman" w:hAnsi="Times New Roman"/>
                <w:sz w:val="16"/>
              </w:rPr>
              <w:t>Gen. 11:8</w:t>
            </w:r>
          </w:p>
        </w:tc>
        <w:tc>
          <w:tcPr>
            <w:tcW w:type="dxa" w:w="3427"/>
            <w:vAlign w:val="top"/>
          </w:tcPr>
          <w:p>
            <w:r>
              <w:rPr>
                <w:rFonts w:ascii="Times New Roman" w:hAnsi="Times New Roman"/>
                <w:sz w:val="16"/>
              </w:rPr>
              <w:t>puts/pus — scatter/disperse</w:t>
            </w:r>
          </w:p>
        </w:tc>
        <w:tc>
          <w:tcPr>
            <w:tcW w:type="dxa" w:w="3427"/>
            <w:vAlign w:val="top"/>
          </w:tcPr>
          <w:p>
            <w:r>
              <w:rPr>
                <w:rFonts w:ascii="Times New Roman" w:hAnsi="Times New Roman"/>
                <w:sz w:val="16"/>
              </w:rPr>
              <w:t>Recovers the Hebrew scattering note.</w:t>
            </w:r>
          </w:p>
        </w:tc>
      </w:tr>
      <w:tr>
        <w:tc>
          <w:tcPr>
            <w:tcW w:type="dxa" w:w="3427"/>
            <w:vAlign w:val="top"/>
          </w:tcPr>
          <w:p>
            <w:r>
              <w:rPr>
                <w:rFonts w:ascii="Times New Roman" w:hAnsi="Times New Roman"/>
                <w:sz w:val="16"/>
              </w:rPr>
              <w:t>Gen. 11:9</w:t>
            </w:r>
          </w:p>
        </w:tc>
        <w:tc>
          <w:tcPr>
            <w:tcW w:type="dxa" w:w="3427"/>
            <w:vAlign w:val="top"/>
          </w:tcPr>
          <w:p>
            <w:r>
              <w:rPr>
                <w:rFonts w:ascii="Times New Roman" w:hAnsi="Times New Roman"/>
                <w:sz w:val="16"/>
              </w:rPr>
              <w:t>Babel / Hebrew wordplay with balal, confuse</w:t>
            </w:r>
          </w:p>
        </w:tc>
        <w:tc>
          <w:tcPr>
            <w:tcW w:type="dxa" w:w="3427"/>
            <w:vAlign w:val="top"/>
          </w:tcPr>
          <w:p>
            <w:r>
              <w:rPr>
                <w:rFonts w:ascii="Times New Roman" w:hAnsi="Times New Roman"/>
                <w:sz w:val="16"/>
              </w:rPr>
              <w:t>Preserves Mansfield’s theological wordplay while distinguishing it from the Babylonian name-form.</w:t>
            </w:r>
          </w:p>
        </w:tc>
      </w:tr>
      <w:tr>
        <w:tc>
          <w:tcPr>
            <w:tcW w:type="dxa" w:w="3427"/>
            <w:vAlign w:val="top"/>
          </w:tcPr>
          <w:p>
            <w:r>
              <w:rPr>
                <w:rFonts w:ascii="Times New Roman" w:hAnsi="Times New Roman"/>
                <w:sz w:val="16"/>
              </w:rPr>
              <w:t>Gen. 11:12</w:t>
            </w:r>
          </w:p>
        </w:tc>
        <w:tc>
          <w:tcPr>
            <w:tcW w:type="dxa" w:w="3427"/>
            <w:vAlign w:val="top"/>
          </w:tcPr>
          <w:p>
            <w:r>
              <w:rPr>
                <w:rFonts w:ascii="Times New Roman" w:hAnsi="Times New Roman"/>
                <w:sz w:val="16"/>
              </w:rPr>
              <w:t>LXX Cainan; Luke 3:36</w:t>
            </w:r>
          </w:p>
        </w:tc>
        <w:tc>
          <w:tcPr>
            <w:tcW w:type="dxa" w:w="3427"/>
            <w:vAlign w:val="top"/>
          </w:tcPr>
          <w:p>
            <w:r>
              <w:rPr>
                <w:rFonts w:ascii="Times New Roman" w:hAnsi="Times New Roman"/>
                <w:sz w:val="16"/>
              </w:rPr>
              <w:t>Recovers the uncertain genealogical variant without changing KJV Genesis.</w:t>
            </w:r>
          </w:p>
        </w:tc>
      </w:tr>
      <w:tr>
        <w:tc>
          <w:tcPr>
            <w:tcW w:type="dxa" w:w="3427"/>
            <w:vAlign w:val="top"/>
          </w:tcPr>
          <w:p>
            <w:r>
              <w:rPr>
                <w:rFonts w:ascii="Times New Roman" w:hAnsi="Times New Roman"/>
                <w:sz w:val="16"/>
              </w:rPr>
              <w:t>Gen. 11:18–20</w:t>
            </w:r>
          </w:p>
        </w:tc>
        <w:tc>
          <w:tcPr>
            <w:tcW w:type="dxa" w:w="3427"/>
            <w:vAlign w:val="top"/>
          </w:tcPr>
          <w:p>
            <w:r>
              <w:rPr>
                <w:rFonts w:ascii="Times New Roman" w:hAnsi="Times New Roman"/>
                <w:sz w:val="16"/>
              </w:rPr>
              <w:t>Reu/Ragau — Luke 3:35; Serug/Saruch — Luke 3:35</w:t>
            </w:r>
          </w:p>
        </w:tc>
        <w:tc>
          <w:tcPr>
            <w:tcW w:type="dxa" w:w="3427"/>
            <w:vAlign w:val="top"/>
          </w:tcPr>
          <w:p>
            <w:r>
              <w:rPr>
                <w:rFonts w:ascii="Times New Roman" w:hAnsi="Times New Roman"/>
                <w:sz w:val="16"/>
              </w:rPr>
              <w:t>Checks New Testament Greek-name forms.</w:t>
            </w:r>
          </w:p>
        </w:tc>
      </w:tr>
      <w:tr>
        <w:tc>
          <w:tcPr>
            <w:tcW w:type="dxa" w:w="3427"/>
            <w:vAlign w:val="top"/>
          </w:tcPr>
          <w:p>
            <w:r>
              <w:rPr>
                <w:rFonts w:ascii="Times New Roman" w:hAnsi="Times New Roman"/>
                <w:sz w:val="16"/>
              </w:rPr>
              <w:t>Gen. 11:26</w:t>
            </w:r>
          </w:p>
        </w:tc>
        <w:tc>
          <w:tcPr>
            <w:tcW w:type="dxa" w:w="3427"/>
            <w:vAlign w:val="top"/>
          </w:tcPr>
          <w:p>
            <w:r>
              <w:rPr>
                <w:rFonts w:ascii="Times New Roman" w:hAnsi="Times New Roman"/>
                <w:sz w:val="16"/>
              </w:rPr>
              <w:t>Abram born when Terah about 130, not necessarily at Terah 70</w:t>
            </w:r>
          </w:p>
        </w:tc>
        <w:tc>
          <w:tcPr>
            <w:tcW w:type="dxa" w:w="3427"/>
            <w:vAlign w:val="top"/>
          </w:tcPr>
          <w:p>
            <w:r>
              <w:rPr>
                <w:rFonts w:ascii="Times New Roman" w:hAnsi="Times New Roman"/>
                <w:sz w:val="16"/>
              </w:rPr>
              <w:t>Reconciles Gen. 11:32; 12:4; Acts 7:4; names in v. 26 are not necessarily birth order.</w:t>
            </w:r>
          </w:p>
        </w:tc>
      </w:tr>
      <w:tr>
        <w:tc>
          <w:tcPr>
            <w:tcW w:type="dxa" w:w="3427"/>
            <w:vAlign w:val="top"/>
          </w:tcPr>
          <w:p>
            <w:r>
              <w:rPr>
                <w:rFonts w:ascii="Times New Roman" w:hAnsi="Times New Roman"/>
                <w:sz w:val="16"/>
              </w:rPr>
              <w:t>Gen. 11:31</w:t>
            </w:r>
          </w:p>
        </w:tc>
        <w:tc>
          <w:tcPr>
            <w:tcW w:type="dxa" w:w="3427"/>
            <w:vAlign w:val="top"/>
          </w:tcPr>
          <w:p>
            <w:r>
              <w:rPr>
                <w:rFonts w:ascii="Times New Roman" w:hAnsi="Times New Roman"/>
                <w:sz w:val="16"/>
              </w:rPr>
              <w:t>First call in Ur: Acts 7:2,4; Gen. 15:7; Isa. 51:2</w:t>
            </w:r>
          </w:p>
        </w:tc>
        <w:tc>
          <w:tcPr>
            <w:tcW w:type="dxa" w:w="3427"/>
            <w:vAlign w:val="top"/>
          </w:tcPr>
          <w:p>
            <w:r>
              <w:rPr>
                <w:rFonts w:ascii="Times New Roman" w:hAnsi="Times New Roman"/>
                <w:sz w:val="16"/>
              </w:rPr>
              <w:t>Corrects any impression that Abram’s call began only at Haran.</w:t>
            </w:r>
          </w:p>
        </w:tc>
      </w:tr>
    </w:tbl>
    <w:p>
      <w:pPr>
        <w:pStyle w:val="Heading1"/>
      </w:pPr>
      <w:r>
        <w:t>RESIDUAL UNCERTAINTIES</w:t>
      </w:r>
    </w:p>
    <w:p>
      <w:pPr>
        <w:pStyle w:val="ListBullet"/>
        <w:spacing w:after="28"/>
      </w:pPr>
      <w:r>
        <w:t>the exact HPB wording attached to the direction “from the east” in Genesis 11:2;</w:t>
      </w:r>
    </w:p>
    <w:p>
      <w:pPr>
        <w:pStyle w:val="ListBullet"/>
        <w:spacing w:after="28"/>
      </w:pPr>
      <w:r>
        <w:t>some of Mansfield’s copied archaeological description of the Babel ziggurat and its astral decoration;</w:t>
      </w:r>
    </w:p>
    <w:p>
      <w:pPr>
        <w:pStyle w:val="ListBullet"/>
        <w:spacing w:after="28"/>
      </w:pPr>
      <w:r>
        <w:t>a number of small labels and dates on the Ur/Sumer/Akkad map;</w:t>
      </w:r>
    </w:p>
    <w:p>
      <w:pPr>
        <w:pStyle w:val="ListBullet"/>
        <w:spacing w:after="28"/>
      </w:pPr>
      <w:r>
        <w:t>some calculations on the wide-ranging Genesis chronology sheet that belong chiefly to later chapters.</w:t>
      </w:r>
    </w:p>
    <w:p>
      <w:r>
        <w:t>The major uncertainty concerning Terah’s role is now recoverable from Mansfield’s published exposition: he explicitly reads Terah as a delaying influence after Abram had already received the call in Ur.</w:t>
      </w:r>
    </w:p>
    <w:sectPr w:rsidR="00FC693F" w:rsidRPr="0006063C" w:rsidSect="00034616">
      <w:headerReference w:type="default" r:id="rId9"/>
      <w:footerReference w:type="default" r:id="rId10"/>
      <w:pgSz w:w="12240" w:h="15840"/>
      <w:pgMar w:top="806" w:right="979" w:bottom="806"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6"/>
      </w:rPr>
      <w:t xml:space="preserve">Page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sz w:val="16"/>
      </w:rPr>
      <w:t>H. P. MANSFIELD BIBLE NOTES  •  GENESIS 11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70" w:line="245" w:lineRule="auto"/>
    </w:pPr>
    <w:rPr>
      <w:rFonts w:ascii="Times New Roman" w:hAnsi="Times New Roman" w:eastAsia="Times New Roman"/>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50" w:after="60"/>
      <w:outlineLvl w:val="0"/>
    </w:pPr>
    <w:rPr>
      <w:rFonts w:asciiTheme="majorHAnsi" w:eastAsiaTheme="majorEastAsia" w:hAnsiTheme="majorHAnsi" w:cstheme="majorBidi" w:ascii="Times New Roman" w:hAnsi="Times New Roman" w:eastAsia="Times New Roman"/>
      <w:b/>
      <w:bCs/>
      <w:color w:val="365F91" w:themeColor="accent1" w:themeShade="BF"/>
      <w:sz w:val="25"/>
      <w:szCs w:val="28"/>
    </w:rPr>
  </w:style>
  <w:style w:type="paragraph" w:styleId="Heading2">
    <w:name w:val="heading 2"/>
    <w:basedOn w:val="Normal"/>
    <w:next w:val="Normal"/>
    <w:link w:val="Heading2Char"/>
    <w:uiPriority w:val="9"/>
    <w:unhideWhenUsed/>
    <w:qFormat/>
    <w:rsid w:val="00FC693F"/>
    <w:pPr>
      <w:keepNext/>
      <w:keepLines/>
      <w:spacing w:before="116" w:after="36"/>
      <w:outlineLvl w:val="1"/>
    </w:pPr>
    <w:rPr>
      <w:rFonts w:asciiTheme="majorHAnsi" w:eastAsiaTheme="majorEastAsia" w:hAnsiTheme="majorHAnsi" w:cstheme="majorBidi" w:ascii="Times New Roman" w:hAnsi="Times New Roman" w:eastAsia="Times New Roman"/>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17365D" w:themeColor="text2" w:themeShade="BF"/>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eastAsia="Times New Roman"/>
      <w:b/>
      <w:i/>
      <w:iCs/>
      <w:color w:val="4F81BD" w:themeColor="accent1"/>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