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12</w:t>
      </w:r>
    </w:p>
    <w:p>
      <w:pPr>
        <w:pStyle w:val="Subtitle"/>
        <w:jc w:val="center"/>
      </w:pPr>
      <w:r>
        <w:t>GET THEE OUT • THE PROMISES • TENT AND ALTAR • DOWN TO EGYPT</w:t>
      </w:r>
    </w:p>
    <w:p>
      <w:pPr>
        <w:jc w:val="center"/>
      </w:pPr>
      <w:r>
        <w:rPr>
          <w:i/>
          <w:sz w:val="18"/>
        </w:rPr>
        <w:t>H. P. Mansfield Bible notes — checked and arranged in verse-by-verse Expositor style</w:t>
      </w:r>
    </w:p>
    <w:p>
      <w:pPr>
        <w:jc w:val="center"/>
      </w:pPr>
      <w:r>
        <w:rPr>
          <w:sz w:val="16"/>
        </w:rPr>
        <w:t>Source: HPB 01-Gen01-Gen41.PDF, Genesis 12 photographed pages 56–57</w:t>
      </w:r>
    </w:p>
    <w:p>
      <w:pPr>
        <w:pStyle w:val="Heading1"/>
      </w:pPr>
      <w:r>
        <w:t>CHAPTER OVERVIEW</w:t>
      </w:r>
    </w:p>
    <w:p>
      <w:r>
        <w:t>Mansfield treats Genesis 12 as the decisive separation of Abram and the first full statement of the promises that govern the patriarchal narrative. The call demands separation from country, kindred and father’s house; the promise supplies national, personal, communal and international blessing; the response is pilgrimage expressed by tent and altar.</w:t>
      </w:r>
    </w:p>
    <w:p>
      <w:r>
        <w:t>The chapter then deliberately records failure. Famine presses Abram “down to Egypt,” fear produces compromise, and a worldly king rebukes the man of faith. Yet Yahweh protects Sarai and preserves the promised line. The lesson is not idealisation of Abram but the faithfulness of God working through a fallible servant.</w:t>
      </w:r>
    </w:p>
    <w:p>
      <w:pPr>
        <w:pStyle w:val="Heading1"/>
      </w:pPr>
      <w:r>
        <w:t>THE CALL AND PROMISES — GENESIS 12:1–3</w:t>
      </w:r>
    </w:p>
    <w:p>
      <w:pPr>
        <w:pStyle w:val="Heading2"/>
      </w:pPr>
      <w:r>
        <w:t>Genesis 12:1 — “Get thee out”</w:t>
      </w:r>
    </w:p>
    <w:p>
      <w:r>
        <w:t>The heading is “THE CALLING OUT OF A FAMILY.” Mansfield distinguishes this Haran call from the first call in Ur (Acts 7:2; Genesis 15:7). “Get thee out” is imperative; he gives the force as “Go for thyself” — obedience is not only commanded but ultimately to Abram’s advantage.</w:t>
      </w:r>
    </w:p>
    <w:p>
      <w:r>
        <w:t>Country, kindred and father’s house form a threefold separation. Joshua 24:2–3 establishes the idolatrous family background; Hebrews 11:8–10 emphasises that Abram went without knowing the destination. Mansfield also applies the principle through 2 Corinthians 6:16–18, Revelation 18:4 and Psalm 45:10–11: divine sonship and bridal loyalty require separation from incompatible worship.</w:t>
      </w:r>
    </w:p>
    <w:p>
      <w:pPr>
        <w:pStyle w:val="Heading2"/>
      </w:pPr>
      <w:r>
        <w:t>Genesis 12:2 — “I will make of thee a great nation”</w:t>
      </w:r>
    </w:p>
    <w:p>
      <w:r>
        <w:t>Mansfield divides the promise into major aspects. “A great nation” is national; “I will bless thee, and make thy name great” is personal; “thou shalt be a blessing” extends the benefit outward. At this stage the repeated “I will” is conditional upon Abram’s faithful response; Genesis 22:16–18 later confirms the promise by oath after tested obedience.</w:t>
      </w:r>
    </w:p>
    <w:p>
      <w:r>
        <w:t>The great-nation element is connected with a restored Israel (Jeremiah 31:22–24; 33:7–8; Ezekiel 36:22–26; 37:21–22; Zechariah 8:13; Micah 4:8). The personal promise implies resurrection, because Abraham must live to receive the greatness promised to him; Matthew 22:31–32; 8:11 and Luke 13:28 are used in that argument.</w:t>
      </w:r>
    </w:p>
    <w:p>
      <w:r>
        <w:t>“Bless” is barak, associated with kneeling/blessing. Mansfield sees God honouring Abram because Abram honours God by responding to the call.</w:t>
      </w:r>
    </w:p>
    <w:p>
      <w:pPr>
        <w:pStyle w:val="Heading2"/>
      </w:pPr>
      <w:r>
        <w:t>Genesis 12:3 — “in thee shall all families of the earth be blessed”</w:t>
      </w:r>
    </w:p>
    <w:p>
      <w:r>
        <w:t>The blessing and curse clauses are heavily marked. Mansfield distinguishes two Hebrew verbs: the blessing is answered by God, while “curse him that curseth thee” uses arar for the divine curse and qalal for the human act of despising or treating lightly. His paraphrase is: “I will bless the blessers of thee, and the despiser of thee I will curse.”</w:t>
      </w:r>
    </w:p>
    <w:p>
      <w:r>
        <w:t>The universal clause is the international promise. Genesis 18:18; 22:18; 26:4; 28:14 and Acts 3:25 repeat it; Galatians 3:8 expressly identifies it as the Gospel preached beforehand to Abraham, and Galatians 3:16 identifies the promised seed centrally with Christ. Psalm 72:17 and Revelation 11:15 are used for its worldwide fulfilment.</w:t>
      </w:r>
    </w:p>
    <w:p>
      <w:pPr>
        <w:pStyle w:val="Heading1"/>
      </w:pPr>
      <w:r>
        <w:t>ABRAM ENTERS CANAAN — GENESIS 12:4–9</w:t>
      </w:r>
    </w:p>
    <w:p>
      <w:pPr>
        <w:pStyle w:val="Heading2"/>
      </w:pPr>
      <w:r>
        <w:t>Genesis 12:4 — “Abram departed, as the LORD had spoken unto him”</w:t>
      </w:r>
    </w:p>
    <w:p>
      <w:r>
        <w:t>Departure is marked as faith in action. Abram is seventy-five. The chronology now confirms the correction made in Genesis 11: if he leaves after Terah’s death at 205, Abram was born when Terah was about 130, not necessarily when Terah first began to have sons at seventy.</w:t>
      </w:r>
    </w:p>
    <w:p>
      <w:r>
        <w:t>Lot accompanies him. Mansfield contrasts the direct imperative of God with human delay: once Terah’s delaying influence is removed, Abram crosses the Euphrates and begins the pilgrim life.</w:t>
      </w:r>
    </w:p>
    <w:p>
      <w:pPr>
        <w:pStyle w:val="Heading2"/>
      </w:pPr>
      <w:r>
        <w:t>Genesis 12:5 — “the souls that they had gotten in Haran”</w:t>
      </w:r>
    </w:p>
    <w:p>
      <w:r>
        <w:t>The uncertain HPB note can be narrowed from Mansfield’s published exposition. He does not explicitly define these “souls” as converts; he says the phrase comprised a considerable number of people in Abram’s household, later illustrated by his ability to muster 318 trained men (Genesis 14:14). The finished note therefore avoids turning an uncertain marginal inference into a statement about proselytes.</w:t>
      </w:r>
    </w:p>
    <w:p>
      <w:r>
        <w:t>Entering Canaan is linked with Abram becoming “the Hebrew,” the crosser-over (Genesis 14:13). Mansfield applies the crossing typologically to passage from a way of death to a way of life (1 John 3:14; 2 Corinthians 2:16).</w:t>
      </w:r>
    </w:p>
    <w:p>
      <w:pPr>
        <w:pStyle w:val="Heading2"/>
      </w:pPr>
      <w:r>
        <w:t>Genesis 12:6 — “unto the place of Sichem... unto the plain of Moreh”</w:t>
      </w:r>
    </w:p>
    <w:p>
      <w:r>
        <w:t>Shechem/Sichem is marked. Mansfield derives the place-name from “shoulder” and gives the thematic sense “Burden-bearer.” He associates its later role as a city of refuge (Joshua 21:21), the covenant assemblies at Joshua 8:30–35 and 24:1, and the Lord’s encounter in John 4.</w:t>
      </w:r>
    </w:p>
    <w:p>
      <w:r>
        <w:t>A significant translation correction is made to the KJV explanatory note, not to the quoted text: “plain of Moreh” is not a treeless plain. The Hebrew allon means an oak or terebinth; R.V. text/margin reflects this. Mansfield links the tree with strength. Moreh is given the proposed senses Teacher / first rain / archer, yielding his symbolic phrase “the strength of the Teacher.”</w:t>
      </w:r>
    </w:p>
    <w:p>
      <w:r>
        <w:t>“The Canaanite was then in the land” is marked as the hostile religious environment in which Abram must live by faith. Mansfield uses the word’s merchant/trader associations in later biblical passages, while the historical Canaanite presence remains the immediate point of the verse.</w:t>
      </w:r>
    </w:p>
    <w:p>
      <w:pPr>
        <w:pStyle w:val="Heading2"/>
      </w:pPr>
      <w:r>
        <w:t>Genesis 12:7 — “Unto thy seed will I give this land”</w:t>
      </w:r>
    </w:p>
    <w:p>
      <w:r>
        <w:t>Yahweh’s appearance and the land promise are strongly marked. Mansfield distinguishes this direct promise from the earlier conditional wording: Abram has obeyed and the land is now explicitly promised to his seed. Genesis 13:15; 17:8 and Psalm 105:9–12 are linked.</w:t>
      </w:r>
    </w:p>
    <w:p>
      <w:r>
        <w:t>Abram’s response is an altar. Revelation produces worship. Mansfield interprets the unhewn altar through Exodus 20:24–25 and connects sacrificial manifestation with Hebrews 13:10 and ultimately Christ. John 8:56 is used to say that Abraham “saw his day” in promise and parable.</w:t>
      </w:r>
    </w:p>
    <w:p>
      <w:pPr>
        <w:pStyle w:val="Heading2"/>
      </w:pPr>
      <w:r>
        <w:t>Genesis 12:8 — “Bethel... Hai... pitched his tent... builded an altar”</w:t>
      </w:r>
    </w:p>
    <w:p>
      <w:r>
        <w:t>Bethel and Ai/Hai are contrasted: Bethel means “House of God”; Ai means “the Ruin.” Abram lives between the two with tent and altar — pilgrim dwelling and worship rather than permanent possession. The physical elevation gives a broad view of the land, but Mansfield’s spiritual emphasis is the choice between the House of God and ruin.</w:t>
      </w:r>
    </w:p>
    <w:p>
      <w:pPr>
        <w:pStyle w:val="Heading2"/>
      </w:pPr>
      <w:r>
        <w:t>Genesis 12:9 — “Abram journeyed, going on still toward the south”</w:t>
      </w:r>
    </w:p>
    <w:p>
      <w:r>
        <w:t>The continuing movement is marked as pilgrimage. Mansfield notices the narrative’s change of language: verse 9 says Abram goes “toward” the south; verse 10 says he goes “down” into Egypt, signalling a spiritual deterioration under pressure.</w:t>
      </w:r>
    </w:p>
    <w:p>
      <w:pPr>
        <w:pStyle w:val="Heading1"/>
      </w:pPr>
      <w:r>
        <w:t>ABRAM IN EGYPT — GENESIS 12:10–20</w:t>
      </w:r>
    </w:p>
    <w:p>
      <w:pPr>
        <w:pStyle w:val="Heading2"/>
      </w:pPr>
      <w:r>
        <w:t>Genesis 12:10 — “there was a famine in the land”</w:t>
      </w:r>
    </w:p>
    <w:p>
      <w:r>
        <w:t>The section is headed “DOWN TO EGYPT.” The famine is a test in the very land of promise. Deuteronomy 8:7–9 and 11:11–12 underline the irony of famine in a fertile land; Amos 8:11–13 supplies Mansfield’s typical comparison with famine of the word.</w:t>
      </w:r>
    </w:p>
    <w:p>
      <w:r>
        <w:t>“Abram went down into Egypt” is treated as deterioration. Isaiah 30:2 is cited as another biblical example of going down to Egypt. Yet Hebrews 11:15–16 is used positively: Abram sojourns there temporarily and does not abandon the promise by returning to Ur.</w:t>
      </w:r>
    </w:p>
    <w:p>
      <w:pPr>
        <w:pStyle w:val="Heading2"/>
      </w:pPr>
      <w:r>
        <w:t>Genesis 12:11–13 — “Say, I pray thee, thou art my sister”</w:t>
      </w:r>
    </w:p>
    <w:p>
      <w:r>
        <w:t>Abram’s fear for his life is strongly noted. Proverbs 29:25 supplies the exact principle behind Mansfield’s marginal sentence: “The fear of man bringeth a snare.” First Kings 8:46 is used to remind the reader that even a faithful man can sin.</w:t>
      </w:r>
    </w:p>
    <w:p>
      <w:r>
        <w:t>Sarai really was Abram’s half-sister (Genesis 20:12), so the statement is a half-truth used deceptively. Mansfield calls it a temporary lapse produced by fear and by the influence of “Egypt,” his type of the world. The protective arrangement appears to have originated when they left their homeland (Genesis 20:13).</w:t>
      </w:r>
    </w:p>
    <w:p>
      <w:pPr>
        <w:pStyle w:val="Heading2"/>
      </w:pPr>
      <w:r>
        <w:t>Genesis 12:14–16</w:t>
      </w:r>
    </w:p>
    <w:p>
      <w:r>
        <w:t>Sarai’s beauty, the commendation by Pharaoh’s princes, and Abram’s material enrichment are marked. Mansfield warns that outward prosperity does not validate the course. Luke 6:26 is used against fleshly commendation, while Genesis 13:2, 7 later shows that increased possessions can contribute to strife.</w:t>
      </w:r>
    </w:p>
    <w:p>
      <w:pPr>
        <w:pStyle w:val="Heading2"/>
      </w:pPr>
      <w:r>
        <w:t>Genesis 12:17 — “the LORD plagued Pharaoh... because of Sarai”</w:t>
      </w:r>
    </w:p>
    <w:p>
      <w:r>
        <w:t>Divine intervention protects both Sarai and the promise. Mansfield connects the incident directly with Psalm 105:13–15: God “suffered no man to do them wrong” and reproved kings for their sakes.</w:t>
      </w:r>
    </w:p>
    <w:p>
      <w:pPr>
        <w:pStyle w:val="Heading2"/>
      </w:pPr>
      <w:r>
        <w:t>Genesis 12:18–20 — “What is this that thou hast done unto me?”</w:t>
      </w:r>
    </w:p>
    <w:p>
      <w:r>
        <w:t>Pharaoh’s rebuke is highlighted as a humbling reversal: an outsider justly exposes the failure of the man of faith. Second Samuel 12:14 and 1 Timothy 3:7 are cited as warnings about giving occasion for reproach.</w:t>
      </w:r>
    </w:p>
    <w:p>
      <w:r>
        <w:t>Abram is sent away with Sarai and his possessions. Yahweh has overruled his weakness, preserved the promised line and brought him out of the danger, but the chapter does not disguise the lapse that made divine rescue necessary.</w:t>
      </w:r>
    </w:p>
    <w:p>
      <w:pPr>
        <w:pStyle w:val="Heading1"/>
      </w:pPr>
      <w:r>
        <w:t>PRINCIPAL THEMES</w:t>
      </w:r>
    </w:p>
    <w:p>
      <w:pPr>
        <w:spacing w:after="40"/>
      </w:pPr>
      <w:r>
        <w:rPr>
          <w:b/>
        </w:rPr>
        <w:t xml:space="preserve">Separation. </w:t>
      </w:r>
      <w:r>
        <w:t>The call requires leaving country, kindred and father’s house.</w:t>
      </w:r>
    </w:p>
    <w:p>
      <w:pPr>
        <w:spacing w:after="40"/>
      </w:pPr>
      <w:r>
        <w:rPr>
          <w:b/>
        </w:rPr>
        <w:t xml:space="preserve">Promise governs the journey. </w:t>
      </w:r>
      <w:r>
        <w:t>National, personal, family and international blessing provide the framework for Abraham’s story.</w:t>
      </w:r>
    </w:p>
    <w:p>
      <w:pPr>
        <w:spacing w:after="40"/>
      </w:pPr>
      <w:r>
        <w:rPr>
          <w:b/>
        </w:rPr>
        <w:t xml:space="preserve">Faith becomes movement. </w:t>
      </w:r>
      <w:r>
        <w:t>Abram obeys before knowing the destination.</w:t>
      </w:r>
    </w:p>
    <w:p>
      <w:pPr>
        <w:spacing w:after="40"/>
      </w:pPr>
      <w:r>
        <w:rPr>
          <w:b/>
        </w:rPr>
        <w:t xml:space="preserve">Tent and altar. </w:t>
      </w:r>
      <w:r>
        <w:t>Pilgrimage and worship characterise life in the land.</w:t>
      </w:r>
    </w:p>
    <w:p>
      <w:pPr>
        <w:spacing w:after="40"/>
      </w:pPr>
      <w:r>
        <w:rPr>
          <w:b/>
        </w:rPr>
        <w:t xml:space="preserve">Land promised to the seed. </w:t>
      </w:r>
      <w:r>
        <w:t>At Shechem the inheritance promise is explicitly confirmed.</w:t>
      </w:r>
    </w:p>
    <w:p>
      <w:pPr>
        <w:spacing w:after="40"/>
      </w:pPr>
      <w:r>
        <w:rPr>
          <w:b/>
        </w:rPr>
        <w:t xml:space="preserve">Faith can fail under pressure. </w:t>
      </w:r>
      <w:r>
        <w:t>Famine and fear expose Abram’s weakness.</w:t>
      </w:r>
    </w:p>
    <w:p>
      <w:pPr>
        <w:spacing w:after="40"/>
      </w:pPr>
      <w:r>
        <w:rPr>
          <w:b/>
        </w:rPr>
        <w:t xml:space="preserve">Half-truth becomes deception. </w:t>
      </w:r>
      <w:r>
        <w:t>A technically true statement can still be used falsely.</w:t>
      </w:r>
    </w:p>
    <w:p>
      <w:pPr>
        <w:spacing w:after="40"/>
      </w:pPr>
      <w:r>
        <w:rPr>
          <w:b/>
        </w:rPr>
        <w:t xml:space="preserve">Providence preserves the promise. </w:t>
      </w:r>
      <w:r>
        <w:t>Yahweh protects Sarai even when Abram acts unwisely.</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427"/>
        <w:gridCol w:w="3427"/>
        <w:gridCol w:w="3427"/>
      </w:tblGrid>
      <w:tr>
        <w:tc>
          <w:tcPr>
            <w:tcW w:type="dxa" w:w="3427"/>
          </w:tcPr>
          <w:p>
            <w:r>
              <w:rPr>
                <w:rFonts w:ascii="Times New Roman" w:hAnsi="Times New Roman"/>
                <w:b/>
                <w:sz w:val="16"/>
              </w:rPr>
              <w:t>Location</w:t>
            </w:r>
          </w:p>
        </w:tc>
        <w:tc>
          <w:tcPr>
            <w:tcW w:type="dxa" w:w="3427"/>
          </w:tcPr>
          <w:p>
            <w:r>
              <w:rPr>
                <w:rFonts w:ascii="Times New Roman" w:hAnsi="Times New Roman"/>
                <w:b/>
                <w:sz w:val="16"/>
              </w:rPr>
              <w:t>Checked / corrected reading</w:t>
            </w:r>
          </w:p>
        </w:tc>
        <w:tc>
          <w:tcPr>
            <w:tcW w:type="dxa" w:w="3427"/>
          </w:tcPr>
          <w:p>
            <w:r>
              <w:rPr>
                <w:rFonts w:ascii="Times New Roman" w:hAnsi="Times New Roman"/>
                <w:b/>
                <w:sz w:val="16"/>
              </w:rPr>
              <w:t>Basis</w:t>
            </w:r>
          </w:p>
        </w:tc>
      </w:tr>
      <w:tr>
        <w:tc>
          <w:tcPr>
            <w:tcW w:type="dxa" w:w="3427"/>
            <w:vAlign w:val="top"/>
          </w:tcPr>
          <w:p>
            <w:r>
              <w:rPr>
                <w:rFonts w:ascii="Times New Roman" w:hAnsi="Times New Roman"/>
                <w:sz w:val="16"/>
              </w:rPr>
              <w:t>Gen. 12:1</w:t>
            </w:r>
          </w:p>
        </w:tc>
        <w:tc>
          <w:tcPr>
            <w:tcW w:type="dxa" w:w="3427"/>
            <w:vAlign w:val="top"/>
          </w:tcPr>
          <w:p>
            <w:r>
              <w:rPr>
                <w:rFonts w:ascii="Times New Roman" w:hAnsi="Times New Roman"/>
                <w:sz w:val="16"/>
              </w:rPr>
              <w:t>First call in Ur: Acts 7:2; Gen. 15:7; second/completed call at Haran</w:t>
            </w:r>
          </w:p>
        </w:tc>
        <w:tc>
          <w:tcPr>
            <w:tcW w:type="dxa" w:w="3427"/>
            <w:vAlign w:val="top"/>
          </w:tcPr>
          <w:p>
            <w:r>
              <w:rPr>
                <w:rFonts w:ascii="Times New Roman" w:hAnsi="Times New Roman"/>
                <w:sz w:val="16"/>
              </w:rPr>
              <w:t>Checks the chapter-opening call chronology.</w:t>
            </w:r>
          </w:p>
        </w:tc>
      </w:tr>
      <w:tr>
        <w:tc>
          <w:tcPr>
            <w:tcW w:type="dxa" w:w="3427"/>
            <w:vAlign w:val="top"/>
          </w:tcPr>
          <w:p>
            <w:r>
              <w:rPr>
                <w:rFonts w:ascii="Times New Roman" w:hAnsi="Times New Roman"/>
                <w:sz w:val="16"/>
              </w:rPr>
              <w:t>Gen. 12:2</w:t>
            </w:r>
          </w:p>
        </w:tc>
        <w:tc>
          <w:tcPr>
            <w:tcW w:type="dxa" w:w="3427"/>
            <w:vAlign w:val="top"/>
          </w:tcPr>
          <w:p>
            <w:r>
              <w:rPr>
                <w:rFonts w:ascii="Times New Roman" w:hAnsi="Times New Roman"/>
                <w:sz w:val="16"/>
              </w:rPr>
              <w:t>barak — bless/kneel; promise later confirmed by oath Gen. 22:16–18</w:t>
            </w:r>
          </w:p>
        </w:tc>
        <w:tc>
          <w:tcPr>
            <w:tcW w:type="dxa" w:w="3427"/>
            <w:vAlign w:val="top"/>
          </w:tcPr>
          <w:p>
            <w:r>
              <w:rPr>
                <w:rFonts w:ascii="Times New Roman" w:hAnsi="Times New Roman"/>
                <w:sz w:val="16"/>
              </w:rPr>
              <w:t>Recovers Mansfield’s lexical and covenant distinction.</w:t>
            </w:r>
          </w:p>
        </w:tc>
      </w:tr>
      <w:tr>
        <w:tc>
          <w:tcPr>
            <w:tcW w:type="dxa" w:w="3427"/>
            <w:vAlign w:val="top"/>
          </w:tcPr>
          <w:p>
            <w:r>
              <w:rPr>
                <w:rFonts w:ascii="Times New Roman" w:hAnsi="Times New Roman"/>
                <w:sz w:val="16"/>
              </w:rPr>
              <w:t>Gen. 12:3</w:t>
            </w:r>
          </w:p>
        </w:tc>
        <w:tc>
          <w:tcPr>
            <w:tcW w:type="dxa" w:w="3427"/>
            <w:vAlign w:val="top"/>
          </w:tcPr>
          <w:p>
            <w:r>
              <w:rPr>
                <w:rFonts w:ascii="Times New Roman" w:hAnsi="Times New Roman"/>
                <w:sz w:val="16"/>
              </w:rPr>
              <w:t>arar — curse; qalal — despise/treat lightly; Gal. 3:8,16</w:t>
            </w:r>
          </w:p>
        </w:tc>
        <w:tc>
          <w:tcPr>
            <w:tcW w:type="dxa" w:w="3427"/>
            <w:vAlign w:val="top"/>
          </w:tcPr>
          <w:p>
            <w:r>
              <w:rPr>
                <w:rFonts w:ascii="Times New Roman" w:hAnsi="Times New Roman"/>
                <w:sz w:val="16"/>
              </w:rPr>
              <w:t>Checks the blessing/curse wording and Gospel application.</w:t>
            </w:r>
          </w:p>
        </w:tc>
      </w:tr>
      <w:tr>
        <w:tc>
          <w:tcPr>
            <w:tcW w:type="dxa" w:w="3427"/>
            <w:vAlign w:val="top"/>
          </w:tcPr>
          <w:p>
            <w:r>
              <w:rPr>
                <w:rFonts w:ascii="Times New Roman" w:hAnsi="Times New Roman"/>
                <w:sz w:val="16"/>
              </w:rPr>
              <w:t>Gen. 12:5</w:t>
            </w:r>
          </w:p>
        </w:tc>
        <w:tc>
          <w:tcPr>
            <w:tcW w:type="dxa" w:w="3427"/>
            <w:vAlign w:val="top"/>
          </w:tcPr>
          <w:p>
            <w:r>
              <w:rPr>
                <w:rFonts w:ascii="Times New Roman" w:hAnsi="Times New Roman"/>
                <w:sz w:val="16"/>
              </w:rPr>
              <w:t>“souls gotten” = substantial household; Gen. 14:14</w:t>
            </w:r>
          </w:p>
        </w:tc>
        <w:tc>
          <w:tcPr>
            <w:tcW w:type="dxa" w:w="3427"/>
            <w:vAlign w:val="top"/>
          </w:tcPr>
          <w:p>
            <w:r>
              <w:rPr>
                <w:rFonts w:ascii="Times New Roman" w:hAnsi="Times New Roman"/>
                <w:sz w:val="16"/>
              </w:rPr>
              <w:t>Narrows an uncertain HPB note; published Mansfield does not require “converts.”</w:t>
            </w:r>
          </w:p>
        </w:tc>
      </w:tr>
      <w:tr>
        <w:tc>
          <w:tcPr>
            <w:tcW w:type="dxa" w:w="3427"/>
            <w:vAlign w:val="top"/>
          </w:tcPr>
          <w:p>
            <w:r>
              <w:rPr>
                <w:rFonts w:ascii="Times New Roman" w:hAnsi="Times New Roman"/>
                <w:sz w:val="16"/>
              </w:rPr>
              <w:t>Gen. 12:6</w:t>
            </w:r>
          </w:p>
        </w:tc>
        <w:tc>
          <w:tcPr>
            <w:tcW w:type="dxa" w:w="3427"/>
            <w:vAlign w:val="top"/>
          </w:tcPr>
          <w:p>
            <w:r>
              <w:rPr>
                <w:rFonts w:ascii="Times New Roman" w:hAnsi="Times New Roman"/>
                <w:sz w:val="16"/>
              </w:rPr>
              <w:t>“plain of Moreh” → allon, oak/terebinth</w:t>
            </w:r>
          </w:p>
        </w:tc>
        <w:tc>
          <w:tcPr>
            <w:tcW w:type="dxa" w:w="3427"/>
            <w:vAlign w:val="top"/>
          </w:tcPr>
          <w:p>
            <w:r>
              <w:rPr>
                <w:rFonts w:ascii="Times New Roman" w:hAnsi="Times New Roman"/>
                <w:sz w:val="16"/>
              </w:rPr>
              <w:t>Corrects the explanatory translation; KJV wording itself is preserved in quotation.</w:t>
            </w:r>
          </w:p>
        </w:tc>
      </w:tr>
      <w:tr>
        <w:tc>
          <w:tcPr>
            <w:tcW w:type="dxa" w:w="3427"/>
            <w:vAlign w:val="top"/>
          </w:tcPr>
          <w:p>
            <w:r>
              <w:rPr>
                <w:rFonts w:ascii="Times New Roman" w:hAnsi="Times New Roman"/>
                <w:sz w:val="16"/>
              </w:rPr>
              <w:t>Gen. 12:8</w:t>
            </w:r>
          </w:p>
        </w:tc>
        <w:tc>
          <w:tcPr>
            <w:tcW w:type="dxa" w:w="3427"/>
            <w:vAlign w:val="top"/>
          </w:tcPr>
          <w:p>
            <w:r>
              <w:rPr>
                <w:rFonts w:ascii="Times New Roman" w:hAnsi="Times New Roman"/>
                <w:sz w:val="16"/>
              </w:rPr>
              <w:t>Bethel = House of God; Ai/Hai = Ruin</w:t>
            </w:r>
          </w:p>
        </w:tc>
        <w:tc>
          <w:tcPr>
            <w:tcW w:type="dxa" w:w="3427"/>
            <w:vAlign w:val="top"/>
          </w:tcPr>
          <w:p>
            <w:r>
              <w:rPr>
                <w:rFonts w:ascii="Times New Roman" w:hAnsi="Times New Roman"/>
                <w:sz w:val="16"/>
              </w:rPr>
              <w:t>Recovers Mansfield’s place-name contrast.</w:t>
            </w:r>
          </w:p>
        </w:tc>
      </w:tr>
      <w:tr>
        <w:tc>
          <w:tcPr>
            <w:tcW w:type="dxa" w:w="3427"/>
            <w:vAlign w:val="top"/>
          </w:tcPr>
          <w:p>
            <w:r>
              <w:rPr>
                <w:rFonts w:ascii="Times New Roman" w:hAnsi="Times New Roman"/>
                <w:sz w:val="16"/>
              </w:rPr>
              <w:t>Gen. 12:12–13</w:t>
            </w:r>
          </w:p>
        </w:tc>
        <w:tc>
          <w:tcPr>
            <w:tcW w:type="dxa" w:w="3427"/>
            <w:vAlign w:val="top"/>
          </w:tcPr>
          <w:p>
            <w:r>
              <w:rPr>
                <w:rFonts w:ascii="Times New Roman" w:hAnsi="Times New Roman"/>
                <w:sz w:val="16"/>
              </w:rPr>
              <w:t>Prov. 29:25; Sarai half-sister Gen. 20:12</w:t>
            </w:r>
          </w:p>
        </w:tc>
        <w:tc>
          <w:tcPr>
            <w:tcW w:type="dxa" w:w="3427"/>
            <w:vAlign w:val="top"/>
          </w:tcPr>
          <w:p>
            <w:r>
              <w:rPr>
                <w:rFonts w:ascii="Times New Roman" w:hAnsi="Times New Roman"/>
                <w:sz w:val="16"/>
              </w:rPr>
              <w:t>Checks the fear/snare reference and identifies the “half-truth.”</w:t>
            </w:r>
          </w:p>
        </w:tc>
      </w:tr>
      <w:tr>
        <w:tc>
          <w:tcPr>
            <w:tcW w:type="dxa" w:w="3427"/>
            <w:vAlign w:val="top"/>
          </w:tcPr>
          <w:p>
            <w:r>
              <w:rPr>
                <w:rFonts w:ascii="Times New Roman" w:hAnsi="Times New Roman"/>
                <w:sz w:val="16"/>
              </w:rPr>
              <w:t>Gen. 12:17</w:t>
            </w:r>
          </w:p>
        </w:tc>
        <w:tc>
          <w:tcPr>
            <w:tcW w:type="dxa" w:w="3427"/>
            <w:vAlign w:val="top"/>
          </w:tcPr>
          <w:p>
            <w:r>
              <w:rPr>
                <w:rFonts w:ascii="Times New Roman" w:hAnsi="Times New Roman"/>
                <w:sz w:val="16"/>
              </w:rPr>
              <w:t>Psalm 105:13–15</w:t>
            </w:r>
          </w:p>
        </w:tc>
        <w:tc>
          <w:tcPr>
            <w:tcW w:type="dxa" w:w="3427"/>
            <w:vAlign w:val="top"/>
          </w:tcPr>
          <w:p>
            <w:r>
              <w:rPr>
                <w:rFonts w:ascii="Times New Roman" w:hAnsi="Times New Roman"/>
                <w:sz w:val="16"/>
              </w:rPr>
              <w:t>Confirms Mansfield’s explicit retrospective reference to Abram/Sarai and kings.</w:t>
            </w:r>
          </w:p>
        </w:tc>
      </w:tr>
    </w:tbl>
    <w:p>
      <w:pPr>
        <w:pStyle w:val="Heading1"/>
      </w:pPr>
      <w:r>
        <w:t>RESIDUAL UNCERTAINTIES</w:t>
      </w:r>
    </w:p>
    <w:p>
      <w:pPr>
        <w:pStyle w:val="ListBullet"/>
        <w:spacing w:after="28"/>
      </w:pPr>
      <w:r>
        <w:t>minor figures and cross-references on the Ur/chronology material sharing the photographed page;</w:t>
      </w:r>
    </w:p>
    <w:p>
      <w:pPr>
        <w:pStyle w:val="ListBullet"/>
        <w:spacing w:after="28"/>
      </w:pPr>
      <w:r>
        <w:t>some exact wording in the small geographical notes around Shechem and Moreh;</w:t>
      </w:r>
    </w:p>
    <w:p>
      <w:pPr>
        <w:pStyle w:val="ListBullet"/>
        <w:spacing w:after="28"/>
      </w:pPr>
      <w:r>
        <w:t>the degree to which Mansfield intended “souls gotten” to include people personally influenced by Abram, beyond the secure sense of a substantial household.</w:t>
      </w:r>
    </w:p>
    <w:p>
      <w:r>
        <w:t>The ambiguous “souls gotten” note is deliberately stated conservatively. The published Mansfield exposition supports a large household but does not justify silently converting the phrase into a definite claim about converts.</w:t>
      </w:r>
    </w:p>
    <w:sectPr w:rsidR="00FC693F" w:rsidRPr="0006063C" w:rsidSect="00034616">
      <w:headerReference w:type="default" r:id="rId9"/>
      <w:footerReference w:type="default" r:id="rId10"/>
      <w:pgSz w:w="12240" w:h="15840"/>
      <w:pgMar w:top="806" w:right="979" w:bottom="80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5" w:lineRule="auto"/>
    </w:pPr>
    <w:rPr>
      <w:rFonts w:ascii="Times New Roman" w:hAnsi="Times New Roman" w:eastAsia="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50" w:after="6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16" w:after="36"/>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