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E4267"/>
          <w:sz w:val="44"/>
        </w:rPr>
        <w:t>GENESIS 14</w:t>
      </w:r>
    </w:p>
    <w:p>
      <w:pPr>
        <w:spacing w:after="160"/>
        <w:pBdr>
          <w:bottom w:val="single" w:sz="10" w:color="4A86D4"/>
        </w:pBdr>
      </w:pPr>
    </w:p>
    <w:p>
      <w:pPr>
        <w:jc w:val="center"/>
      </w:pPr>
      <w:r>
        <w:rPr>
          <w:rFonts w:ascii="Arial" w:hAnsi="Arial"/>
          <w:b/>
          <w:i/>
          <w:color w:val="4A86D4"/>
          <w:sz w:val="22"/>
        </w:rPr>
        <w:t>THE INVASION • ABRAM THE REDEEMER • MELCHIZEDEK • REFUSING SODOM’S WEALTH</w:t>
      </w:r>
    </w:p>
    <w:p>
      <w:pPr>
        <w:jc w:val="center"/>
      </w:pPr>
      <w:r>
        <w:rPr>
          <w:i/>
          <w:sz w:val="19"/>
        </w:rPr>
        <w:t>H. P. Mansfield Bible notes — checked and arranged in verse-by-verse Expositor style</w:t>
      </w:r>
    </w:p>
    <w:p>
      <w:pPr>
        <w:spacing w:after="160"/>
        <w:jc w:val="center"/>
      </w:pPr>
      <w:r>
        <w:rPr>
          <w:sz w:val="17"/>
        </w:rPr>
        <w:t>Source: HPB 01-Gen01-Gen41.PDF, Genesis 14 photographed pages 58–59</w:t>
      </w:r>
    </w:p>
    <w:p>
      <w:pPr>
        <w:pStyle w:val="Heading1"/>
      </w:pPr>
      <w:r>
        <w:rPr>
          <w:rFonts w:ascii="Arial" w:hAnsi="Arial"/>
        </w:rPr>
        <w:t>CHAPTER OVERVIEW</w:t>
      </w:r>
    </w:p>
    <w:p>
      <w:r>
        <w:t>Mansfield heads Genesis 14 THE INVASION and places Abram within a recognisable ancient Near Eastern campaign. The four eastern kings defeat the five cities of the Jordan circuit, Lot is captured because he has moved into Sodom, and Abram acts as kinsman-deliverer.</w:t>
      </w:r>
    </w:p>
    <w:p>
      <w:r>
        <w:t>The victory culminates in a deliberate contrast between two kings. Melchizedek, king-priest of Salem, blesses Abram in the name of El Elyon and brings bread and wine; the king of Sodom offers material reward. Abram accepts the blessing of the first and refuses enrichment from the second.</w:t>
      </w:r>
    </w:p>
    <w:p>
      <w:pPr>
        <w:pStyle w:val="Heading1"/>
      </w:pPr>
      <w:r>
        <w:rPr>
          <w:rFonts w:ascii="Arial" w:hAnsi="Arial"/>
        </w:rPr>
        <w:t>WAR IN THE MIDDLE EAST — GENESIS 14:1–12</w:t>
      </w:r>
    </w:p>
    <w:p>
      <w:pPr>
        <w:spacing w:before="80" w:after="20"/>
      </w:pPr>
      <w:r>
        <w:rPr>
          <w:rFonts w:ascii="Arial" w:hAnsi="Arial"/>
          <w:b/>
          <w:color w:val="2F67A7"/>
          <w:sz w:val="22"/>
        </w:rPr>
        <w:t>Genesis 14:1–2 — the four eastern kings and the five cities</w:t>
      </w:r>
    </w:p>
    <w:p>
      <w:pPr>
        <w:spacing w:after="60" w:line="240" w:lineRule="auto"/>
      </w:pPr>
      <w:r>
        <w:t>Shinar is Babylonian territory. Mansfield notes the once-popular identification of Amraphel with Hammurabi, but his published Expositor itself says that this is disputed; the finished note therefore retains it only as a historical proposal, not a correction of the biblical text.</w:t>
      </w:r>
    </w:p>
    <w:p>
      <w:pPr>
        <w:spacing w:after="60" w:line="240" w:lineRule="auto"/>
      </w:pPr>
      <w:r>
        <w:t>The names of the five local kings and cities are annotated at length. Mansfield uses their proposed meanings homiletically, but these name-sentences are secondary exposition and are not treated as certain lexical translations.</w:t>
      </w:r>
    </w:p>
    <w:p>
      <w:pPr>
        <w:spacing w:before="80" w:after="20"/>
      </w:pPr>
      <w:r>
        <w:rPr>
          <w:rFonts w:ascii="Arial" w:hAnsi="Arial"/>
          <w:b/>
          <w:color w:val="2F67A7"/>
          <w:sz w:val="22"/>
        </w:rPr>
        <w:t>Genesis 14:3–4 — “the vale of Siddim… twelve years… thirteenth year”</w:t>
      </w:r>
    </w:p>
    <w:p>
      <w:pPr>
        <w:spacing w:after="60" w:line="240" w:lineRule="auto"/>
      </w:pPr>
      <w:r>
        <w:t>Siddim is located in the Dead Sea region. Mansfield reads “which is the salt sea” as a later explanatory locator. Twelve years of service followed by rebellion in the thirteenth is carefully marked; his numerical symbolism is retained as exposition rather than textual fact.</w:t>
      </w:r>
    </w:p>
    <w:p>
      <w:pPr>
        <w:spacing w:before="80" w:after="20"/>
      </w:pPr>
      <w:r>
        <w:rPr>
          <w:rFonts w:ascii="Arial" w:hAnsi="Arial"/>
          <w:b/>
          <w:color w:val="2F67A7"/>
          <w:sz w:val="22"/>
        </w:rPr>
        <w:t>Genesis 14:5–7 — Rephaim, Zuzim, Emim and Horites</w:t>
      </w:r>
    </w:p>
    <w:p>
      <w:pPr>
        <w:spacing w:after="60" w:line="240" w:lineRule="auto"/>
      </w:pPr>
      <w:r>
        <w:t>The campaign is traced southward along the eastern side of Jordan and then back northward. The Rephaim are connected with later biblical giant traditions (Deuteronomy 2:10–11, 20–21; 3:11,13); Genesis 6:4 and Numbers 13:33 are used for comparison with the Nephilim language.</w:t>
      </w:r>
    </w:p>
    <w:p>
      <w:pPr>
        <w:spacing w:after="60" w:line="240" w:lineRule="auto"/>
      </w:pPr>
      <w:r>
        <w:t>Horites are explained as cave-dwellers; En-mishpat is identified with Kadesh; Hazezon-tamar with En-gedi (2 Chronicles 20:2). Mansfield’s archaeological route reconstruction is supporting material, not part of the verse text.</w:t>
      </w:r>
    </w:p>
    <w:p>
      <w:pPr>
        <w:spacing w:before="80" w:after="20"/>
      </w:pPr>
      <w:r>
        <w:rPr>
          <w:rFonts w:ascii="Arial" w:hAnsi="Arial"/>
          <w:b/>
          <w:color w:val="2F67A7"/>
          <w:sz w:val="22"/>
        </w:rPr>
        <w:t>Genesis 14:8–10 — “four kings with five… slimepits”</w:t>
      </w:r>
    </w:p>
    <w:p>
      <w:pPr>
        <w:spacing w:after="60" w:line="240" w:lineRule="auto"/>
      </w:pPr>
      <w:r>
        <w:t>The battle is fought in Siddim. The “slimepits” note is recovered as bitumen/asphalt: Hebrew chemar, related in Mansfield’s treatment to the bitumen used at Babel (Genesis 11:3). The geological observation explains why fugitives could be trapped in the area.</w:t>
      </w:r>
    </w:p>
    <w:p>
      <w:pPr>
        <w:spacing w:before="80" w:after="20"/>
      </w:pPr>
      <w:r>
        <w:rPr>
          <w:rFonts w:ascii="Arial" w:hAnsi="Arial"/>
          <w:b/>
          <w:color w:val="2F67A7"/>
          <w:sz w:val="22"/>
        </w:rPr>
        <w:t>Genesis 14:11–12 — “they took Lot… who dwelt in Sodom”</w:t>
      </w:r>
    </w:p>
    <w:p>
      <w:pPr>
        <w:spacing w:after="60" w:line="240" w:lineRule="auto"/>
      </w:pPr>
      <w:r>
        <w:t>Lot’s earlier movement “toward” Sodom (13:12) has become residence “in” Sodom. Mansfield marks this as the fifth stage in Lot’s decline. The material choice that once appeared secure now places him directly in the path of war.</w:t>
      </w:r>
    </w:p>
    <w:p>
      <w:pPr>
        <w:pStyle w:val="Heading1"/>
      </w:pPr>
      <w:r>
        <w:rPr>
          <w:rFonts w:ascii="Arial" w:hAnsi="Arial"/>
        </w:rPr>
        <w:t>ABRAM INTERVENES — GENESIS 14:13–16</w:t>
      </w:r>
    </w:p>
    <w:p>
      <w:pPr>
        <w:spacing w:before="80" w:after="20"/>
      </w:pPr>
      <w:r>
        <w:rPr>
          <w:rFonts w:ascii="Arial" w:hAnsi="Arial"/>
          <w:b/>
          <w:color w:val="2F67A7"/>
          <w:sz w:val="22"/>
        </w:rPr>
        <w:t>Genesis 14:13 — “Abram the Hebrew”</w:t>
      </w:r>
    </w:p>
    <w:p>
      <w:pPr>
        <w:spacing w:after="60" w:line="240" w:lineRule="auto"/>
      </w:pPr>
      <w:r>
        <w:t>Mansfield explains Hebrew in the thematic sense “Crosser Over,” Abram being a stranger who has crossed into the life of faith. Mamre, Eshcol and Aner are called his confederates; published Mansfield recovers the phrase ba‘ale berith as “possessors/lords of covenant,” the basis of his typological reading of these Gentile allies.</w:t>
      </w:r>
    </w:p>
    <w:p>
      <w:pPr>
        <w:spacing w:before="80" w:after="20"/>
      </w:pPr>
      <w:r>
        <w:rPr>
          <w:rFonts w:ascii="Arial" w:hAnsi="Arial"/>
          <w:b/>
          <w:color w:val="2F67A7"/>
          <w:sz w:val="22"/>
        </w:rPr>
        <w:t>Genesis 14:14 — “his trained servants… three hundred and eighteen”</w:t>
      </w:r>
    </w:p>
    <w:p>
      <w:pPr>
        <w:spacing w:after="60" w:line="240" w:lineRule="auto"/>
      </w:pPr>
      <w:r>
        <w:t>The faint HPB lexical note is recoverable. “Trained” is chaniyk (ḥānîḵ), meaning initiated/trained or practised, from the same root-family Mansfield compares with “Train up a child” in Proverbs 22:6. The preceding verb rendered “armed” is treated by Mansfield from ruwq as “led/poured forth,” so he argues that the men were already equipped and disciplined.</w:t>
      </w:r>
    </w:p>
    <w:p>
      <w:pPr>
        <w:spacing w:after="60" w:line="240" w:lineRule="auto"/>
      </w:pPr>
      <w:r>
        <w:t>Abram acts because “his brother” is captive. Mansfield treats “brother” as kinsman and connects Abram’s action with the later goel/kinsman-redeemer principle (Leviticus 25:47–55). The 318 are born in his household; Genesis 12:5 and 15:2 help show that Abram’s encampment was a substantial community.</w:t>
      </w:r>
    </w:p>
    <w:p>
      <w:pPr>
        <w:spacing w:before="80" w:after="20"/>
      </w:pPr>
      <w:r>
        <w:rPr>
          <w:rFonts w:ascii="Arial" w:hAnsi="Arial"/>
          <w:b/>
          <w:color w:val="2F67A7"/>
          <w:sz w:val="22"/>
        </w:rPr>
        <w:t>Genesis 14:15–16 — night pursuit and complete recovery</w:t>
      </w:r>
    </w:p>
    <w:p>
      <w:pPr>
        <w:spacing w:after="60" w:line="240" w:lineRule="auto"/>
      </w:pPr>
      <w:r>
        <w:t>Abram divides his force and attacks by night, pursuing north beyond Damascus. Lot, the people, women and goods are recovered. Mansfield’s emphasis is disciplined faith and responsibility to a kinsman, not adventurous warfare for gain.</w:t>
      </w:r>
    </w:p>
    <w:p>
      <w:pPr>
        <w:pStyle w:val="Heading1"/>
      </w:pPr>
      <w:r>
        <w:rPr>
          <w:rFonts w:ascii="Arial" w:hAnsi="Arial"/>
        </w:rPr>
        <w:t>MELCHIZEDEK BLESSES ABRAM — GENESIS 14:17–20</w:t>
      </w:r>
    </w:p>
    <w:p>
      <w:pPr>
        <w:spacing w:before="80" w:after="20"/>
      </w:pPr>
      <w:r>
        <w:rPr>
          <w:rFonts w:ascii="Arial" w:hAnsi="Arial"/>
          <w:b/>
          <w:color w:val="2F67A7"/>
          <w:sz w:val="22"/>
        </w:rPr>
        <w:t>Genesis 14:17 — two kings come to meet Abram</w:t>
      </w:r>
    </w:p>
    <w:p>
      <w:pPr>
        <w:spacing w:after="60" w:line="240" w:lineRule="auto"/>
      </w:pPr>
      <w:r>
        <w:t>The king of Sodom comes out after the victory, but the narrative immediately introduces Melchizedek. Mansfield deliberately sets the offers of these two rulers side by side so Abram’s spiritual choice can be seen.</w:t>
      </w:r>
    </w:p>
    <w:p>
      <w:pPr>
        <w:spacing w:before="80" w:after="20"/>
      </w:pPr>
      <w:r>
        <w:rPr>
          <w:rFonts w:ascii="Arial" w:hAnsi="Arial"/>
          <w:b/>
          <w:color w:val="2F67A7"/>
          <w:sz w:val="22"/>
        </w:rPr>
        <w:t>Genesis 14:18 — “Melchizedek king of Salem… priest of the most high God”</w:t>
      </w:r>
    </w:p>
    <w:p>
      <w:pPr>
        <w:spacing w:after="60" w:line="240" w:lineRule="auto"/>
      </w:pPr>
      <w:r>
        <w:t>Hebrews 7:2 supplies the authoritative interpretation of the title: Melchizedek is “King of righteousness,” and King of Salem is “King of peace.” Mansfield stresses the order: righteousness before peace (compare Isaiah 57:21; James 3:17–18). Psalm 110:4 and Hebrews 5–7 establish the later biblical use of the Melchizedek priesthood in relation to Christ.</w:t>
      </w:r>
    </w:p>
    <w:p>
      <w:pPr>
        <w:spacing w:after="60" w:line="240" w:lineRule="auto"/>
      </w:pPr>
      <w:r>
        <w:t>The bread and wine are marked as covenantal and typological. The supporting Mansfield text contains an OCR-looking “Luke 22:8”; the relevant Last Supper reference is Luke 22:19–20. John 6:54–58 and Ezekiel 44:3 are also used in his wider exposition.</w:t>
      </w:r>
    </w:p>
    <w:p>
      <w:pPr>
        <w:spacing w:after="60" w:line="240" w:lineRule="auto"/>
      </w:pPr>
      <w:r>
        <w:t>Hebrews 7:3 is not taken to mean that Melchizedek was literally without parents or immortal; Mansfield applies “without father, without mother… without descent” to the priestly order’s lack of Levitical genealogical qualification. His suggestion that Melchizedek may have been Shem is retained only as a proposal, not a biblical identification.</w:t>
      </w:r>
    </w:p>
    <w:p>
      <w:pPr>
        <w:spacing w:before="80" w:after="20"/>
      </w:pPr>
      <w:r>
        <w:rPr>
          <w:rFonts w:ascii="Arial" w:hAnsi="Arial"/>
          <w:b/>
          <w:color w:val="2F67A7"/>
          <w:sz w:val="22"/>
        </w:rPr>
        <w:t>Genesis 14:19–20 — “El Elyon… possessor of heaven and earth”</w:t>
      </w:r>
    </w:p>
    <w:p>
      <w:pPr>
        <w:spacing w:after="60" w:line="240" w:lineRule="auto"/>
      </w:pPr>
      <w:r>
        <w:t>El Elyon is recovered as “God Most High”: El, strength/power; Elyon, high/supreme. Melchizedek blesses Abram and blesses God as the One who delivered the enemies into Abram’s hand. Daniel 4:17 is Mansfield’s principal dominion comparison.</w:t>
      </w:r>
    </w:p>
    <w:p>
      <w:pPr>
        <w:spacing w:after="60" w:line="240" w:lineRule="auto"/>
      </w:pPr>
      <w:r>
        <w:t>Abram gives a tenth. Hebrews 7:4–11 is the controlling New Testament cross-reference: the tithe demonstrates the superiority of Melchizedek’s priesthood over Levi in the apostolic argument.</w:t>
      </w:r>
    </w:p>
    <w:p>
      <w:pPr>
        <w:pStyle w:val="Heading1"/>
      </w:pPr>
      <w:r>
        <w:rPr>
          <w:rFonts w:ascii="Arial" w:hAnsi="Arial"/>
        </w:rPr>
        <w:t>ABRAM REFUSES THE KING OF SODOM — GENESIS 14:21–24</w:t>
      </w:r>
    </w:p>
    <w:p>
      <w:pPr>
        <w:spacing w:before="80" w:after="20"/>
      </w:pPr>
      <w:r>
        <w:rPr>
          <w:rFonts w:ascii="Arial" w:hAnsi="Arial"/>
          <w:b/>
          <w:color w:val="2F67A7"/>
          <w:sz w:val="22"/>
        </w:rPr>
        <w:t>Genesis 14:21 — “Give me the persons, and take the goods”</w:t>
      </w:r>
    </w:p>
    <w:p>
      <w:pPr>
        <w:spacing w:after="60" w:line="240" w:lineRule="auto"/>
      </w:pPr>
      <w:r>
        <w:t>The king of Sodom offers Abram the spoil. Mansfield reads the moment as a test following victory: will Abram accept recognition and wealth from Sodom, or leave reward with God?</w:t>
      </w:r>
    </w:p>
    <w:p>
      <w:pPr>
        <w:spacing w:before="80" w:after="20"/>
      </w:pPr>
      <w:r>
        <w:rPr>
          <w:rFonts w:ascii="Arial" w:hAnsi="Arial"/>
          <w:b/>
          <w:color w:val="2F67A7"/>
          <w:sz w:val="22"/>
        </w:rPr>
        <w:t>Genesis 14:22–23 — “I have lift up mine hand… I will not take”</w:t>
      </w:r>
    </w:p>
    <w:p>
      <w:pPr>
        <w:spacing w:after="60" w:line="240" w:lineRule="auto"/>
      </w:pPr>
      <w:r>
        <w:t>Lifting the hand is treated as oath-taking. Abram identifies Yahweh with El Elyon, possessor of heaven and earth, and refuses everything “from a thread even to a shoelatchet.” Published Mansfield recovers chut as a thread/fillet; the idiom means not even the smallest item will be accepted.</w:t>
      </w:r>
    </w:p>
    <w:p>
      <w:pPr>
        <w:spacing w:after="60" w:line="240" w:lineRule="auto"/>
      </w:pPr>
      <w:r>
        <w:t>The reason is explicit: “lest thou shouldest say, I have made Abram rich.” Abram will not allow Sodom to claim authorship of the blessing that belongs to God.</w:t>
      </w:r>
    </w:p>
    <w:p>
      <w:pPr>
        <w:spacing w:before="80" w:after="20"/>
      </w:pPr>
      <w:r>
        <w:rPr>
          <w:rFonts w:ascii="Arial" w:hAnsi="Arial"/>
          <w:b/>
          <w:color w:val="2F67A7"/>
          <w:sz w:val="22"/>
        </w:rPr>
        <w:t>Genesis 14:24 — “Let them take their portion”</w:t>
      </w:r>
    </w:p>
    <w:p>
      <w:pPr>
        <w:spacing w:after="60" w:line="240" w:lineRule="auto"/>
      </w:pPr>
      <w:r>
        <w:t>Abram’s personal renunciation is not imposed upon Aner, Eshcol and Mamre. Romans 13:7–8, 1 Corinthians 9:13–14 and 1 Timothy 5:18 are used by Mansfield to defend legitimate provision for those who have borne costs or laboured. The note distinguishes personal conscience from rules unnecessarily imposed on others.</w:t>
      </w:r>
    </w:p>
    <w:p>
      <w:pPr>
        <w:pStyle w:val="Heading1"/>
      </w:pPr>
      <w:r>
        <w:rPr>
          <w:rFonts w:ascii="Arial" w:hAnsi="Arial"/>
        </w:rPr>
        <w:t>PRINCIPAL THEMES</w:t>
      </w:r>
    </w:p>
    <w:p>
      <w:pPr>
        <w:spacing w:after="20"/>
      </w:pPr>
      <w:r>
        <w:rPr>
          <w:b/>
        </w:rPr>
        <w:t xml:space="preserve">History and geography. </w:t>
      </w:r>
      <w:r>
        <w:t>The campaign is treated as a real political event with an intelligible route.</w:t>
      </w:r>
    </w:p>
    <w:p>
      <w:pPr>
        <w:spacing w:after="20"/>
      </w:pPr>
      <w:r>
        <w:rPr>
          <w:b/>
        </w:rPr>
        <w:t xml:space="preserve">Consequences of association. </w:t>
      </w:r>
      <w:r>
        <w:t>Lot’s movement into Sodom places him in its danger.</w:t>
      </w:r>
    </w:p>
    <w:p>
      <w:pPr>
        <w:spacing w:after="20"/>
      </w:pPr>
      <w:r>
        <w:rPr>
          <w:b/>
        </w:rPr>
        <w:t xml:space="preserve">Kinsman responsibility. </w:t>
      </w:r>
      <w:r>
        <w:t>Abram risks himself to recover his relative.</w:t>
      </w:r>
    </w:p>
    <w:p>
      <w:pPr>
        <w:spacing w:after="20"/>
      </w:pPr>
      <w:r>
        <w:rPr>
          <w:b/>
        </w:rPr>
        <w:t xml:space="preserve">Disciplined faith. </w:t>
      </w:r>
      <w:r>
        <w:t>The 318 are trained household servants, not an improvised mob.</w:t>
      </w:r>
    </w:p>
    <w:p>
      <w:pPr>
        <w:spacing w:after="20"/>
      </w:pPr>
      <w:r>
        <w:rPr>
          <w:b/>
        </w:rPr>
        <w:t xml:space="preserve">God gives the victory. </w:t>
      </w:r>
      <w:r>
        <w:t>Melchizedek’s blessing attributes deliverance to El Elyon.</w:t>
      </w:r>
    </w:p>
    <w:p>
      <w:pPr>
        <w:spacing w:after="20"/>
      </w:pPr>
      <w:r>
        <w:rPr>
          <w:b/>
        </w:rPr>
        <w:t xml:space="preserve">Righteousness before peace. </w:t>
      </w:r>
      <w:r>
        <w:t>Melchizedek’s titles become a New Testament pattern for Christ’s king-priesthood.</w:t>
      </w:r>
    </w:p>
    <w:p>
      <w:pPr>
        <w:spacing w:after="20"/>
      </w:pPr>
      <w:r>
        <w:rPr>
          <w:b/>
        </w:rPr>
        <w:t xml:space="preserve">Two kings, two rewards. </w:t>
      </w:r>
      <w:r>
        <w:t>Abram receives spiritual blessing from Salem and refuses enrichment from Sodom.</w:t>
      </w:r>
    </w:p>
    <w:p>
      <w:pPr>
        <w:spacing w:after="20"/>
      </w:pPr>
      <w:r>
        <w:rPr>
          <w:b/>
        </w:rPr>
        <w:t xml:space="preserve">Liberty in secondary matters. </w:t>
      </w:r>
      <w:r>
        <w:t>Abram does not force his personal renunciation on his allies.</w:t>
      </w:r>
    </w:p>
    <w:p>
      <w:pPr>
        <w:pStyle w:val="Heading1"/>
      </w:pPr>
      <w:r>
        <w:rPr>
          <w:rFonts w:ascii="Arial" w:hAnsi="Arial"/>
        </w:rPr>
        <w:t>EDITORIAL VERIFICATION AND RECOVERED READINGS</w:t>
      </w:r>
    </w:p>
    <w:tbl>
      <w:tblPr>
        <w:tblStyle w:val="TableGrid"/>
        <w:tblW w:type="auto" w:w="0"/>
        <w:jc w:val="center"/>
        <w:tblLayout w:type="fixed"/>
        <w:tblLook w:firstColumn="1" w:firstRow="1" w:lastColumn="0" w:lastRow="0" w:noHBand="0" w:noVBand="1" w:val="04A0"/>
      </w:tblPr>
      <w:tblGrid>
        <w:gridCol w:w="1800"/>
        <w:gridCol w:w="3672"/>
        <w:gridCol w:w="4536"/>
      </w:tblGrid>
      <w:tr>
        <w:tc>
          <w:tcPr>
            <w:tcW w:type="dxa" w:w="3485"/>
            <w:shd w:fill="EAF0F8"/>
          </w:tcPr>
          <w:p>
            <w:r>
              <w:rPr>
                <w:b/>
              </w:rPr>
              <w:t>Location</w:t>
            </w:r>
          </w:p>
        </w:tc>
        <w:tc>
          <w:tcPr>
            <w:tcW w:type="dxa" w:w="3485"/>
            <w:shd w:fill="EAF0F8"/>
          </w:tcPr>
          <w:p>
            <w:r>
              <w:rPr>
                <w:b/>
              </w:rPr>
              <w:t>Checked / corrected reading</w:t>
            </w:r>
          </w:p>
        </w:tc>
        <w:tc>
          <w:tcPr>
            <w:tcW w:type="dxa" w:w="3485"/>
            <w:shd w:fill="EAF0F8"/>
          </w:tcPr>
          <w:p>
            <w:r>
              <w:rPr>
                <w:b/>
              </w:rPr>
              <w:t>Basis</w:t>
            </w:r>
          </w:p>
        </w:tc>
      </w:tr>
      <w:tr>
        <w:tc>
          <w:tcPr>
            <w:tcW w:type="dxa" w:w="1800"/>
            <w:vAlign w:val="top"/>
          </w:tcPr>
          <w:p>
            <w:pPr>
              <w:spacing w:after="0" w:line="240" w:lineRule="auto"/>
            </w:pPr>
            <w:r>
              <w:rPr>
                <w:rFonts w:ascii="Times New Roman" w:hAnsi="Times New Roman"/>
                <w:sz w:val="16"/>
              </w:rPr>
              <w:t>Gen. 14:1</w:t>
            </w:r>
          </w:p>
        </w:tc>
        <w:tc>
          <w:tcPr>
            <w:tcW w:type="dxa" w:w="3672"/>
            <w:vAlign w:val="top"/>
          </w:tcPr>
          <w:p>
            <w:pPr>
              <w:spacing w:after="0" w:line="240" w:lineRule="auto"/>
            </w:pPr>
            <w:r>
              <w:rPr>
                <w:rFonts w:ascii="Times New Roman" w:hAnsi="Times New Roman"/>
                <w:sz w:val="16"/>
              </w:rPr>
              <w:t>Amraphel = Hammurabi only a disputed historical proposal</w:t>
            </w:r>
          </w:p>
        </w:tc>
        <w:tc>
          <w:tcPr>
            <w:tcW w:type="dxa" w:w="4536"/>
            <w:vAlign w:val="top"/>
          </w:tcPr>
          <w:p>
            <w:pPr>
              <w:spacing w:after="0" w:line="240" w:lineRule="auto"/>
            </w:pPr>
            <w:r>
              <w:rPr>
                <w:rFonts w:ascii="Times New Roman" w:hAnsi="Times New Roman"/>
                <w:sz w:val="16"/>
              </w:rPr>
              <w:t>Published Mansfield explicitly records the dispute; no certainty is introduced.</w:t>
            </w:r>
          </w:p>
        </w:tc>
      </w:tr>
      <w:tr>
        <w:tc>
          <w:tcPr>
            <w:tcW w:type="dxa" w:w="1800"/>
            <w:vAlign w:val="top"/>
          </w:tcPr>
          <w:p>
            <w:pPr>
              <w:spacing w:after="0" w:line="240" w:lineRule="auto"/>
            </w:pPr>
            <w:r>
              <w:rPr>
                <w:rFonts w:ascii="Times New Roman" w:hAnsi="Times New Roman"/>
                <w:sz w:val="16"/>
              </w:rPr>
              <w:t>Gen. 14:5–7</w:t>
            </w:r>
          </w:p>
        </w:tc>
        <w:tc>
          <w:tcPr>
            <w:tcW w:type="dxa" w:w="3672"/>
            <w:vAlign w:val="top"/>
          </w:tcPr>
          <w:p>
            <w:pPr>
              <w:spacing w:after="0" w:line="240" w:lineRule="auto"/>
            </w:pPr>
            <w:r>
              <w:rPr>
                <w:rFonts w:ascii="Times New Roman" w:hAnsi="Times New Roman"/>
                <w:sz w:val="16"/>
              </w:rPr>
              <w:t>Rephaim refs Deut. 2:10–11,20–21; 3:11,13; Nephilim comparison Gen. 6:4; Num. 13:33</w:t>
            </w:r>
          </w:p>
        </w:tc>
        <w:tc>
          <w:tcPr>
            <w:tcW w:type="dxa" w:w="4536"/>
            <w:vAlign w:val="top"/>
          </w:tcPr>
          <w:p>
            <w:pPr>
              <w:spacing w:after="0" w:line="240" w:lineRule="auto"/>
            </w:pPr>
            <w:r>
              <w:rPr>
                <w:rFonts w:ascii="Times New Roman" w:hAnsi="Times New Roman"/>
                <w:sz w:val="16"/>
              </w:rPr>
              <w:t>Checks the giant-peoples reference network.</w:t>
            </w:r>
          </w:p>
        </w:tc>
      </w:tr>
      <w:tr>
        <w:tc>
          <w:tcPr>
            <w:tcW w:type="dxa" w:w="1800"/>
            <w:vAlign w:val="top"/>
          </w:tcPr>
          <w:p>
            <w:pPr>
              <w:spacing w:after="0" w:line="240" w:lineRule="auto"/>
            </w:pPr>
            <w:r>
              <w:rPr>
                <w:rFonts w:ascii="Times New Roman" w:hAnsi="Times New Roman"/>
                <w:sz w:val="16"/>
              </w:rPr>
              <w:t>Gen. 14:10</w:t>
            </w:r>
          </w:p>
        </w:tc>
        <w:tc>
          <w:tcPr>
            <w:tcW w:type="dxa" w:w="3672"/>
            <w:vAlign w:val="top"/>
          </w:tcPr>
          <w:p>
            <w:pPr>
              <w:spacing w:after="0" w:line="240" w:lineRule="auto"/>
            </w:pPr>
            <w:r>
              <w:rPr>
                <w:rFonts w:ascii="Times New Roman" w:hAnsi="Times New Roman"/>
                <w:sz w:val="16"/>
              </w:rPr>
              <w:t>chemar = bitumen/asphalt; compare Gen. 11:3</w:t>
            </w:r>
          </w:p>
        </w:tc>
        <w:tc>
          <w:tcPr>
            <w:tcW w:type="dxa" w:w="4536"/>
            <w:vAlign w:val="top"/>
          </w:tcPr>
          <w:p>
            <w:pPr>
              <w:spacing w:after="0" w:line="240" w:lineRule="auto"/>
            </w:pPr>
            <w:r>
              <w:rPr>
                <w:rFonts w:ascii="Times New Roman" w:hAnsi="Times New Roman"/>
                <w:sz w:val="16"/>
              </w:rPr>
              <w:t>Recovers the geological/lexical note.</w:t>
            </w:r>
          </w:p>
        </w:tc>
      </w:tr>
      <w:tr>
        <w:tc>
          <w:tcPr>
            <w:tcW w:type="dxa" w:w="1800"/>
            <w:vAlign w:val="top"/>
          </w:tcPr>
          <w:p>
            <w:pPr>
              <w:spacing w:after="0" w:line="240" w:lineRule="auto"/>
            </w:pPr>
            <w:r>
              <w:rPr>
                <w:rFonts w:ascii="Times New Roman" w:hAnsi="Times New Roman"/>
                <w:sz w:val="16"/>
              </w:rPr>
              <w:t>Gen. 14:13</w:t>
            </w:r>
          </w:p>
        </w:tc>
        <w:tc>
          <w:tcPr>
            <w:tcW w:type="dxa" w:w="3672"/>
            <w:vAlign w:val="top"/>
          </w:tcPr>
          <w:p>
            <w:pPr>
              <w:spacing w:after="0" w:line="240" w:lineRule="auto"/>
            </w:pPr>
            <w:r>
              <w:rPr>
                <w:rFonts w:ascii="Times New Roman" w:hAnsi="Times New Roman"/>
                <w:sz w:val="16"/>
              </w:rPr>
              <w:t>ba‘ale berith = covenant lords/possessors</w:t>
            </w:r>
          </w:p>
        </w:tc>
        <w:tc>
          <w:tcPr>
            <w:tcW w:type="dxa" w:w="4536"/>
            <w:vAlign w:val="top"/>
          </w:tcPr>
          <w:p>
            <w:pPr>
              <w:spacing w:after="0" w:line="240" w:lineRule="auto"/>
            </w:pPr>
            <w:r>
              <w:rPr>
                <w:rFonts w:ascii="Times New Roman" w:hAnsi="Times New Roman"/>
                <w:sz w:val="16"/>
              </w:rPr>
              <w:t>Recovers Mansfield’s covenant description of Mamre, Eshcol and Aner.</w:t>
            </w:r>
          </w:p>
        </w:tc>
      </w:tr>
      <w:tr>
        <w:tc>
          <w:tcPr>
            <w:tcW w:type="dxa" w:w="1800"/>
            <w:vAlign w:val="top"/>
          </w:tcPr>
          <w:p>
            <w:pPr>
              <w:spacing w:after="0" w:line="240" w:lineRule="auto"/>
            </w:pPr>
            <w:r>
              <w:rPr>
                <w:rFonts w:ascii="Times New Roman" w:hAnsi="Times New Roman"/>
                <w:sz w:val="16"/>
              </w:rPr>
              <w:t>Gen. 14:14</w:t>
            </w:r>
          </w:p>
        </w:tc>
        <w:tc>
          <w:tcPr>
            <w:tcW w:type="dxa" w:w="3672"/>
            <w:vAlign w:val="top"/>
          </w:tcPr>
          <w:p>
            <w:pPr>
              <w:spacing w:after="0" w:line="240" w:lineRule="auto"/>
            </w:pPr>
            <w:r>
              <w:rPr>
                <w:rFonts w:ascii="Times New Roman" w:hAnsi="Times New Roman"/>
                <w:sz w:val="16"/>
              </w:rPr>
              <w:t>chaniyk = trained/initiated; compare Prov. 22:6; ruwq = lead/pour forth in Mansfield</w:t>
            </w:r>
          </w:p>
        </w:tc>
        <w:tc>
          <w:tcPr>
            <w:tcW w:type="dxa" w:w="4536"/>
            <w:vAlign w:val="top"/>
          </w:tcPr>
          <w:p>
            <w:pPr>
              <w:spacing w:after="0" w:line="240" w:lineRule="auto"/>
            </w:pPr>
            <w:r>
              <w:rPr>
                <w:rFonts w:ascii="Times New Roman" w:hAnsi="Times New Roman"/>
                <w:sz w:val="16"/>
              </w:rPr>
              <w:t>Resolves the faint handwritten “trained” transliteration.</w:t>
            </w:r>
          </w:p>
        </w:tc>
      </w:tr>
      <w:tr>
        <w:tc>
          <w:tcPr>
            <w:tcW w:type="dxa" w:w="1800"/>
            <w:vAlign w:val="top"/>
          </w:tcPr>
          <w:p>
            <w:pPr>
              <w:spacing w:after="0" w:line="240" w:lineRule="auto"/>
            </w:pPr>
            <w:r>
              <w:rPr>
                <w:rFonts w:ascii="Times New Roman" w:hAnsi="Times New Roman"/>
                <w:sz w:val="16"/>
              </w:rPr>
              <w:t>Gen. 14:18</w:t>
            </w:r>
          </w:p>
        </w:tc>
        <w:tc>
          <w:tcPr>
            <w:tcW w:type="dxa" w:w="3672"/>
            <w:vAlign w:val="top"/>
          </w:tcPr>
          <w:p>
            <w:pPr>
              <w:spacing w:after="0" w:line="240" w:lineRule="auto"/>
            </w:pPr>
            <w:r>
              <w:rPr>
                <w:rFonts w:ascii="Times New Roman" w:hAnsi="Times New Roman"/>
                <w:sz w:val="16"/>
              </w:rPr>
              <w:t>Heb. 7:2; Psa. 110:4; Heb. 5–7; Luke 22:19–20</w:t>
            </w:r>
          </w:p>
        </w:tc>
        <w:tc>
          <w:tcPr>
            <w:tcW w:type="dxa" w:w="4536"/>
            <w:vAlign w:val="top"/>
          </w:tcPr>
          <w:p>
            <w:pPr>
              <w:spacing w:after="0" w:line="240" w:lineRule="auto"/>
            </w:pPr>
            <w:r>
              <w:rPr>
                <w:rFonts w:ascii="Times New Roman" w:hAnsi="Times New Roman"/>
                <w:sz w:val="16"/>
              </w:rPr>
              <w:t>Checks Melchizedek and corrects the supporting-text OCR-like “Luke 22:8”.</w:t>
            </w:r>
          </w:p>
        </w:tc>
      </w:tr>
      <w:tr>
        <w:tc>
          <w:tcPr>
            <w:tcW w:type="dxa" w:w="1800"/>
            <w:vAlign w:val="top"/>
          </w:tcPr>
          <w:p>
            <w:pPr>
              <w:spacing w:after="0" w:line="240" w:lineRule="auto"/>
            </w:pPr>
            <w:r>
              <w:rPr>
                <w:rFonts w:ascii="Times New Roman" w:hAnsi="Times New Roman"/>
                <w:sz w:val="16"/>
              </w:rPr>
              <w:t>Gen. 14:19–20</w:t>
            </w:r>
          </w:p>
        </w:tc>
        <w:tc>
          <w:tcPr>
            <w:tcW w:type="dxa" w:w="3672"/>
            <w:vAlign w:val="top"/>
          </w:tcPr>
          <w:p>
            <w:pPr>
              <w:spacing w:after="0" w:line="240" w:lineRule="auto"/>
            </w:pPr>
            <w:r>
              <w:rPr>
                <w:rFonts w:ascii="Times New Roman" w:hAnsi="Times New Roman"/>
                <w:sz w:val="16"/>
              </w:rPr>
              <w:t>El Elyon = God Most High; Heb. 7:4–11</w:t>
            </w:r>
          </w:p>
        </w:tc>
        <w:tc>
          <w:tcPr>
            <w:tcW w:type="dxa" w:w="4536"/>
            <w:vAlign w:val="top"/>
          </w:tcPr>
          <w:p>
            <w:pPr>
              <w:spacing w:after="0" w:line="240" w:lineRule="auto"/>
            </w:pPr>
            <w:r>
              <w:rPr>
                <w:rFonts w:ascii="Times New Roman" w:hAnsi="Times New Roman"/>
                <w:sz w:val="16"/>
              </w:rPr>
              <w:t>Confirms the title and tithe argument.</w:t>
            </w:r>
          </w:p>
        </w:tc>
      </w:tr>
      <w:tr>
        <w:tc>
          <w:tcPr>
            <w:tcW w:type="dxa" w:w="1800"/>
            <w:vAlign w:val="top"/>
          </w:tcPr>
          <w:p>
            <w:pPr>
              <w:spacing w:after="0" w:line="240" w:lineRule="auto"/>
            </w:pPr>
            <w:r>
              <w:rPr>
                <w:rFonts w:ascii="Times New Roman" w:hAnsi="Times New Roman"/>
                <w:sz w:val="16"/>
              </w:rPr>
              <w:t>Gen. 14:22–23</w:t>
            </w:r>
          </w:p>
        </w:tc>
        <w:tc>
          <w:tcPr>
            <w:tcW w:type="dxa" w:w="3672"/>
            <w:vAlign w:val="top"/>
          </w:tcPr>
          <w:p>
            <w:pPr>
              <w:spacing w:after="0" w:line="240" w:lineRule="auto"/>
            </w:pPr>
            <w:r>
              <w:rPr>
                <w:rFonts w:ascii="Times New Roman" w:hAnsi="Times New Roman"/>
                <w:sz w:val="16"/>
              </w:rPr>
              <w:t>chut = thread/fillet; oath by lifted hand</w:t>
            </w:r>
          </w:p>
        </w:tc>
        <w:tc>
          <w:tcPr>
            <w:tcW w:type="dxa" w:w="4536"/>
            <w:vAlign w:val="top"/>
          </w:tcPr>
          <w:p>
            <w:pPr>
              <w:spacing w:after="0" w:line="240" w:lineRule="auto"/>
            </w:pPr>
            <w:r>
              <w:rPr>
                <w:rFonts w:ascii="Times New Roman" w:hAnsi="Times New Roman"/>
                <w:sz w:val="16"/>
              </w:rPr>
              <w:t>Recovers the refusal idiom and its setting.</w:t>
            </w:r>
          </w:p>
        </w:tc>
      </w:tr>
    </w:tbl>
    <w:p>
      <w:pPr>
        <w:pStyle w:val="Heading1"/>
      </w:pPr>
      <w:r>
        <w:rPr>
          <w:rFonts w:ascii="Arial" w:hAnsi="Arial"/>
        </w:rPr>
        <w:t>RESIDUAL UNCERTAINTIES</w:t>
      </w:r>
    </w:p>
    <w:p>
      <w:pPr>
        <w:ind w:left="230" w:hanging="173"/>
      </w:pPr>
      <w:r>
        <w:t>•  Several proposed identifications and dates for the eastern kings remain historical hypotheses rather than secure readings of the biblical text.</w:t>
      </w:r>
    </w:p>
    <w:p>
      <w:pPr>
        <w:ind w:left="230" w:hanging="173"/>
      </w:pPr>
      <w:r>
        <w:t>•  Some tiny archaeological labels and name-etymology notes in the photographed margins remain unreadable and have not been guessed.</w:t>
      </w:r>
    </w:p>
    <w:p>
      <w:pPr>
        <w:ind w:left="230" w:hanging="173"/>
      </w:pPr>
      <w:r>
        <w:t>•  Mansfield’s Armageddon typology and identification of Melchizedek with Shem are preserved as his exposition, clearly distinguished from explicit biblical statements.</w:t>
      </w:r>
    </w:p>
    <w:sectPr w:rsidR="00FC693F" w:rsidRPr="0006063C" w:rsidSect="00034616">
      <w:headerReference w:type="default" r:id="rId9"/>
      <w:footerReference w:type="default" r:id="rId10"/>
      <w:pgSz w:w="12240" w:h="15840"/>
      <w:pgMar w:top="835" w:right="893" w:bottom="83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7"/>
      </w:rPr>
      <w:t>H. P. MANSFIELD BIBLE NOTES  •  GENESIS 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2F67A7"/>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F67A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