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15</w:t>
      </w:r>
    </w:p>
    <w:p>
      <w:pPr>
        <w:pBdr>
          <w:bottom w:val="single" w:sz="10" w:color="4A86D4"/>
        </w:pBdr>
        <w:spacing w:after="160"/>
      </w:pPr>
    </w:p>
    <w:p>
      <w:pPr>
        <w:jc w:val="center"/>
      </w:pPr>
      <w:r>
        <w:rPr>
          <w:rFonts w:ascii="Arial" w:hAnsi="Arial"/>
          <w:b/>
          <w:i/>
          <w:color w:val="4A86D4"/>
          <w:sz w:val="22"/>
        </w:rPr>
        <w:t>FEAR NOT • FAITH COUNTED FOR RIGHTEOUSNESS • THE COVENANT CUT • THE LAND DEFINED</w:t>
      </w:r>
    </w:p>
    <w:p>
      <w:pPr>
        <w:jc w:val="center"/>
      </w:pPr>
      <w:r>
        <w:rPr>
          <w:i/>
          <w:sz w:val="19"/>
        </w:rPr>
        <w:t>H. P. Mansfield Bible notes — checked and arranged in verse-by-verse Expositor style</w:t>
      </w:r>
    </w:p>
    <w:p>
      <w:pPr>
        <w:spacing w:after="160"/>
        <w:jc w:val="center"/>
      </w:pPr>
      <w:r>
        <w:rPr>
          <w:sz w:val="17"/>
        </w:rPr>
        <w:t>Source: HPB 01-Gen01-Gen41.PDF, Genesis 15 photographed pages 59–60</w:t>
      </w:r>
    </w:p>
    <w:p>
      <w:pPr>
        <w:pStyle w:val="Heading1"/>
      </w:pPr>
      <w:r>
        <w:t>CHAPTER OVERVIEW</w:t>
      </w:r>
    </w:p>
    <w:p>
      <w:r>
        <w:t>Genesis 15 formally confirms the Abrahamic promises by covenant. Abram has rejected Sodom’s reward but still faces fear, age and childlessness. Yahweh answers with Himself as shield and reward, promises a son from Abram’s own body, and uses the stars to enlarge the promise.</w:t>
      </w:r>
    </w:p>
    <w:p>
      <w:r>
        <w:t>The centre of the chapter is Genesis 15:6: Abram believes in Yahweh and that faith is counted to him for righteousness. The land promise is then confirmed through a covenant sacrifice, with Israel’s future affliction, Exodus and return foretold before the boundaries are defined.</w:t>
      </w:r>
    </w:p>
    <w:p>
      <w:pPr>
        <w:pStyle w:val="Heading1"/>
      </w:pPr>
      <w:r>
        <w:t>A REWARD PROMISED — GENESIS 15:1–6</w:t>
      </w:r>
    </w:p>
    <w:p>
      <w:pPr>
        <w:spacing w:before="80" w:after="20"/>
      </w:pPr>
      <w:r>
        <w:rPr>
          <w:rFonts w:ascii="Arial" w:hAnsi="Arial"/>
          <w:b/>
          <w:color w:val="2F67A7"/>
          <w:sz w:val="22"/>
        </w:rPr>
        <w:t>Genesis 15:1 — “Fear not… I am thy shield… thy exceeding great reward”</w:t>
      </w:r>
    </w:p>
    <w:p>
      <w:pPr>
        <w:spacing w:after="60" w:line="240" w:lineRule="auto"/>
      </w:pPr>
      <w:r>
        <w:t>The words follow the events of Genesis 14. Mansfield connects “reward” directly with Abram’s refusal to be made rich by Sodom. The first occurrence of “the word of Yahweh” (dabar Yahweh) is marked as Divine communication coming in vision.</w:t>
      </w:r>
    </w:p>
    <w:p>
      <w:pPr>
        <w:spacing w:after="60" w:line="240" w:lineRule="auto"/>
      </w:pPr>
      <w:r>
        <w:t>“Shield” is magen, associated with protection/defence. Mansfield compares Psalm 119:114 and Proverbs 30:5; Hebrews 11:6 checks the reward principle: faith approaches God as One who is and who rewards those who diligently seek Him.</w:t>
      </w:r>
    </w:p>
    <w:p>
      <w:pPr>
        <w:spacing w:before="80" w:after="20"/>
      </w:pPr>
      <w:r>
        <w:rPr>
          <w:rFonts w:ascii="Arial" w:hAnsi="Arial"/>
          <w:b/>
          <w:color w:val="2F67A7"/>
          <w:sz w:val="22"/>
        </w:rPr>
        <w:t>Genesis 15:2–3 — “seeing I go childless… Eliezer of Damascus”</w:t>
      </w:r>
    </w:p>
    <w:p>
      <w:pPr>
        <w:spacing w:after="60" w:line="240" w:lineRule="auto"/>
      </w:pPr>
      <w:r>
        <w:t>Abram does not deny the promise; he asks how it can operate when he has no son. Published Mansfield recovers the household-law point: ben mesheq is treated as the heir/son of possession, and Eliezer had apparently become the legal household heir under a recognised ancient custom.</w:t>
      </w:r>
    </w:p>
    <w:p>
      <w:pPr>
        <w:spacing w:after="60" w:line="240" w:lineRule="auto"/>
      </w:pPr>
      <w:r>
        <w:t>Eliezer means “El is my help.” The note avoids making archaeology the basis of the text; it is supporting context for Abram’s question.</w:t>
      </w:r>
    </w:p>
    <w:p>
      <w:pPr>
        <w:spacing w:before="80" w:after="20"/>
      </w:pPr>
      <w:r>
        <w:rPr>
          <w:rFonts w:ascii="Arial" w:hAnsi="Arial"/>
          <w:b/>
          <w:color w:val="2F67A7"/>
          <w:sz w:val="22"/>
        </w:rPr>
        <w:t>Genesis 15:4 — “he that shall come forth out of thine own bowels shall be thine heir”</w:t>
      </w:r>
    </w:p>
    <w:p>
      <w:pPr>
        <w:spacing w:after="60" w:line="240" w:lineRule="auto"/>
      </w:pPr>
      <w:r>
        <w:t>Yahweh explicitly excludes the merely legal household solution. The promised heir must come from Abram himself; the answer is direct and prepares for the later distinction between the seed of promise and human attempts to secure it.</w:t>
      </w:r>
    </w:p>
    <w:p>
      <w:pPr>
        <w:spacing w:before="80" w:after="20"/>
      </w:pPr>
      <w:r>
        <w:rPr>
          <w:rFonts w:ascii="Arial" w:hAnsi="Arial"/>
          <w:b/>
          <w:color w:val="2F67A7"/>
          <w:sz w:val="22"/>
        </w:rPr>
        <w:t>Genesis 15:5 — “tell the stars… so shall thy seed be”</w:t>
      </w:r>
    </w:p>
    <w:p>
      <w:pPr>
        <w:spacing w:after="60" w:line="240" w:lineRule="auto"/>
      </w:pPr>
      <w:r>
        <w:t>Abram is taken outside and told to count the stars if he can. Genesis 22:17, Exodus 32:13 and Hebrews 11:12 preserve the multitude figure; Romans 4:18–21 uses this promise to describe Abram’s faith against natural expectation.</w:t>
      </w:r>
    </w:p>
    <w:p>
      <w:pPr>
        <w:spacing w:after="60" w:line="240" w:lineRule="auto"/>
      </w:pPr>
      <w:r>
        <w:t>Mansfield also applies the stars morally: Philippians 2:15–16 and Daniel 12:3 portray the faithful as lights in darkness. That is typological application, not the lexical meaning of Genesis 15:5.</w:t>
      </w:r>
    </w:p>
    <w:p>
      <w:pPr>
        <w:spacing w:before="80" w:after="20"/>
      </w:pPr>
      <w:r>
        <w:rPr>
          <w:rFonts w:ascii="Arial" w:hAnsi="Arial"/>
          <w:b/>
          <w:color w:val="2F67A7"/>
          <w:sz w:val="22"/>
        </w:rPr>
        <w:t>Genesis 15:6 — “he believed in the LORD; and he counted it to him for righteousness”</w:t>
      </w:r>
    </w:p>
    <w:p>
      <w:pPr>
        <w:spacing w:after="60" w:line="240" w:lineRule="auto"/>
      </w:pPr>
      <w:r>
        <w:t>The faint word-study is recoverable. Mansfield connects “believed” with the Hebrew root aman: to be firm, supported or established. His point is not bare assent but resting upon Yahweh’s word.</w:t>
      </w:r>
    </w:p>
    <w:p>
      <w:pPr>
        <w:spacing w:after="60" w:line="240" w:lineRule="auto"/>
      </w:pPr>
      <w:r>
        <w:t>Romans 4:3, 9–12, 18–22; Galatians 3:6–9; and James 2:23 are the principal New Testament references. Paul uses the verse to establish justification by faith apart from circumcision and Mosaic law; James uses the same Scripture in showing that genuine faith is perfected in obedient works. The finished note keeps both apostolic uses together rather than setting them against each other.</w:t>
      </w:r>
    </w:p>
    <w:p>
      <w:pPr>
        <w:pStyle w:val="Heading1"/>
      </w:pPr>
      <w:r>
        <w:t>THE LAND PROMISE CONFIRMED — GENESIS 15:7–16</w:t>
      </w:r>
    </w:p>
    <w:p>
      <w:pPr>
        <w:spacing w:before="80" w:after="20"/>
      </w:pPr>
      <w:r>
        <w:rPr>
          <w:rFonts w:ascii="Arial" w:hAnsi="Arial"/>
          <w:b/>
          <w:color w:val="2F67A7"/>
          <w:sz w:val="22"/>
        </w:rPr>
        <w:t>Genesis 15:7–8 — “I am the LORD that brought thee out of Ur… whereby shall I know?”</w:t>
      </w:r>
    </w:p>
    <w:p>
      <w:pPr>
        <w:spacing w:after="60" w:line="240" w:lineRule="auto"/>
      </w:pPr>
      <w:r>
        <w:t>The formula links calling, separation and inheritance. Mansfield compares Acts 15:14 for a people called out for the Name. Abram’s request for assurance is not treated as unbelief; he has just been commended for faith. Comparable requests for signs include Judges 6:17 and Luke 1:18, though the spiritual response to signs differs by context.</w:t>
      </w:r>
    </w:p>
    <w:p>
      <w:pPr>
        <w:spacing w:before="80" w:after="20"/>
      </w:pPr>
      <w:r>
        <w:rPr>
          <w:rFonts w:ascii="Arial" w:hAnsi="Arial"/>
          <w:b/>
          <w:color w:val="2F67A7"/>
          <w:sz w:val="22"/>
        </w:rPr>
        <w:t>Genesis 15:9–10 — the divided covenant victims</w:t>
      </w:r>
    </w:p>
    <w:p>
      <w:pPr>
        <w:spacing w:after="60" w:line="240" w:lineRule="auto"/>
      </w:pPr>
      <w:r>
        <w:t>The heifer, she-goat and ram are each three years old, with a turtledove and pigeon. Mansfield relates these later sacrificial animals to purification, sin and consecration (Numbers 19; Numbers 15:27; Exodus 29:15; Leviticus 1:14). The three-year detail is retained as part of his symbolic exposition.</w:t>
      </w:r>
    </w:p>
    <w:p>
      <w:pPr>
        <w:spacing w:after="60" w:line="240" w:lineRule="auto"/>
      </w:pPr>
      <w:r>
        <w:t>The important recovered verb is bathar, “divide/cut.” Jeremiah 34:18–19 supplies the clearest biblical parallel to parties passing between divided covenant pieces. The expression “cut a covenant” is therefore literal covenant language, solemnly binding the undertaking unto death.</w:t>
      </w:r>
    </w:p>
    <w:p>
      <w:pPr>
        <w:spacing w:before="80" w:after="20"/>
      </w:pPr>
      <w:r>
        <w:rPr>
          <w:rFonts w:ascii="Arial" w:hAnsi="Arial"/>
          <w:b/>
          <w:color w:val="2F67A7"/>
          <w:sz w:val="22"/>
        </w:rPr>
        <w:t>Genesis 15:11–12 — birds of prey, deep sleep and great darkness</w:t>
      </w:r>
    </w:p>
    <w:p>
      <w:pPr>
        <w:spacing w:after="60" w:line="240" w:lineRule="auto"/>
      </w:pPr>
      <w:r>
        <w:t>The R.V. sense “birds of prey” clarifies the “fowls” descending on the carcasses; Abram drives them away. Mansfield treats this symbolically as hostile powers threatening the covenant people, but the specific bird identifications in the HPB margin remain uncertain.</w:t>
      </w:r>
    </w:p>
    <w:p>
      <w:pPr>
        <w:spacing w:after="60" w:line="240" w:lineRule="auto"/>
      </w:pPr>
      <w:r>
        <w:t>The deep sleep and “horror of great darkness” prepare for the affliction prophecy. Mansfield applies the sleep to death and the darkness to the grave; the text itself at minimum links the ominous experience with the suffering about to be foretold.</w:t>
      </w:r>
    </w:p>
    <w:p>
      <w:pPr>
        <w:spacing w:before="80" w:after="20"/>
      </w:pPr>
      <w:r>
        <w:rPr>
          <w:rFonts w:ascii="Arial" w:hAnsi="Arial"/>
          <w:b/>
          <w:color w:val="2F67A7"/>
          <w:sz w:val="22"/>
        </w:rPr>
        <w:t>Genesis 15:13–14 — “afflict them four hundred years… afterward shall they come out”</w:t>
      </w:r>
    </w:p>
    <w:p>
      <w:pPr>
        <w:spacing w:after="60" w:line="240" w:lineRule="auto"/>
      </w:pPr>
      <w:r>
        <w:t>Acts 7:6–7 quotes the four-hundred-year prophecy. Exodus 12:40 gives 430 years. Mansfield’s chronology takes the 430 from Abram’s entry into Canaan and the 400 from the beginning of affliction in the Isaac/Ishmael period, both ending at the Exodus. Because chronological schemes are debated, the finished note records this specifically as Mansfield’s reconciliation rather than silently presenting it as the only possible computation.</w:t>
      </w:r>
    </w:p>
    <w:p>
      <w:pPr>
        <w:spacing w:after="60" w:line="240" w:lineRule="auto"/>
      </w:pPr>
      <w:r>
        <w:t>Exodus 12:36 and Psalm 105:37 check the promise that the delivered nation would come out with great substance.</w:t>
      </w:r>
    </w:p>
    <w:p>
      <w:pPr>
        <w:spacing w:before="80" w:after="20"/>
      </w:pPr>
      <w:r>
        <w:rPr>
          <w:rFonts w:ascii="Arial" w:hAnsi="Arial"/>
          <w:b/>
          <w:color w:val="2F67A7"/>
          <w:sz w:val="22"/>
        </w:rPr>
        <w:t>Genesis 15:15–16 — “fourth generation… iniquity of the Amorites is not yet full”</w:t>
      </w:r>
    </w:p>
    <w:p>
      <w:pPr>
        <w:spacing w:after="60" w:line="240" w:lineRule="auto"/>
      </w:pPr>
      <w:r>
        <w:t>Abram will die and be buried in peace; “go to thy fathers” is a death/burial idiom, not a statement that his idolatrous ancestors were alive in heaven (compare Joshua 24:2).</w:t>
      </w:r>
    </w:p>
    <w:p>
      <w:pPr>
        <w:spacing w:after="60" w:line="240" w:lineRule="auto"/>
      </w:pPr>
      <w:r>
        <w:t>Mansfield reckons the fourth generation through Levi, Kohath, Amram and Moses, while also discussing lifespan chronology. The doctrinal emphasis is clearer than the arithmetic: judgment on the Amorites is delayed until iniquity is “full.” The conquest is therefore portrayed as morally judged and patiently deferred, not arbitrary.</w:t>
      </w:r>
    </w:p>
    <w:p>
      <w:pPr>
        <w:pStyle w:val="Heading1"/>
      </w:pPr>
      <w:r>
        <w:t>THE COVENANT AND ITS BORDERS — GENESIS 15:17–21</w:t>
      </w:r>
    </w:p>
    <w:p>
      <w:pPr>
        <w:spacing w:before="80" w:after="20"/>
      </w:pPr>
      <w:r>
        <w:rPr>
          <w:rFonts w:ascii="Arial" w:hAnsi="Arial"/>
          <w:b/>
          <w:color w:val="2F67A7"/>
          <w:sz w:val="22"/>
        </w:rPr>
        <w:t>Genesis 15:17 — “a smoking furnace, and a burning lamp… passed between those pieces”</w:t>
      </w:r>
    </w:p>
    <w:p>
      <w:pPr>
        <w:spacing w:after="60" w:line="240" w:lineRule="auto"/>
      </w:pPr>
      <w:r>
        <w:t>Published Mansfield recovers “smoking furnace” as a fire-pot/oven image associated with trial and purification; Hebrews 5:7–8 and 12:3–8 are used in his application. The burning lamp is linked with Divine Spirit/light (Revelation 4:5).</w:t>
      </w:r>
    </w:p>
    <w:p>
      <w:pPr>
        <w:spacing w:after="60" w:line="240" w:lineRule="auto"/>
      </w:pPr>
      <w:r>
        <w:t>The decisive covenant action is that the Divine symbols pass between the divided pieces. Abram does not. Mansfield therefore stresses Divine guarantee: Yahweh binds the promise through the covenant-victim, which he connects forward to Christ and Romans 15:8. Luke 22:20 provides the New Testament covenant-in-blood language.</w:t>
      </w:r>
    </w:p>
    <w:p>
      <w:pPr>
        <w:spacing w:before="80" w:after="20"/>
      </w:pPr>
      <w:r>
        <w:rPr>
          <w:rFonts w:ascii="Arial" w:hAnsi="Arial"/>
          <w:b/>
          <w:color w:val="2F67A7"/>
          <w:sz w:val="22"/>
        </w:rPr>
        <w:t>Genesis 15:18 — “Yahweh made a covenant… unto thy seed have I given this land”</w:t>
      </w:r>
    </w:p>
    <w:p>
      <w:pPr>
        <w:spacing w:after="60" w:line="240" w:lineRule="auto"/>
      </w:pPr>
      <w:r>
        <w:t>The Hebrew phrase is karath berith, literally “cut a covenant.” The promise is stated as granted, though its complete territorial fulfilment remains future in Mansfield’s reading.</w:t>
      </w:r>
    </w:p>
    <w:p>
      <w:pPr>
        <w:spacing w:after="60" w:line="240" w:lineRule="auto"/>
      </w:pPr>
      <w:r>
        <w:t>The southern boundary is “the river of Egypt” and the northern/eastern boundary “the great river, the river Euphrates.” Mansfield distinguishes the Hebrew nahar here from nachal, the “brook/wadi of Egypt” wording used elsewhere such as 1 Kings 8:65. His conclusion that Genesis 15:18 refers to the Nile is retained as his interpretation, while the text’s explicit Euphrates boundary is unambiguous.</w:t>
      </w:r>
    </w:p>
    <w:p>
      <w:pPr>
        <w:spacing w:before="80" w:after="20"/>
      </w:pPr>
      <w:r>
        <w:rPr>
          <w:rFonts w:ascii="Arial" w:hAnsi="Arial"/>
          <w:b/>
          <w:color w:val="2F67A7"/>
          <w:sz w:val="22"/>
        </w:rPr>
        <w:t>Genesis 15:19–21 — the peoples of the land</w:t>
      </w:r>
    </w:p>
    <w:p>
      <w:pPr>
        <w:spacing w:after="60" w:line="240" w:lineRule="auto"/>
      </w:pPr>
      <w:r>
        <w:t>The Kenites, Kenizzites, Kadmonites, Hittites, Perizzites, Rephaim, Amorites, Canaanites, Girgashites and Jebusites define the peoples whose territories lie within the promised inheritance. The list grounds the covenant in concrete geography rather than an undefined spiritual abstraction.</w:t>
      </w:r>
    </w:p>
    <w:p>
      <w:pPr>
        <w:pStyle w:val="Heading1"/>
      </w:pPr>
      <w:r>
        <w:t>PRINCIPAL THEMES</w:t>
      </w:r>
    </w:p>
    <w:p>
      <w:pPr>
        <w:spacing w:after="20"/>
      </w:pPr>
      <w:r>
        <w:rPr>
          <w:b/>
        </w:rPr>
        <w:t xml:space="preserve">God as shield and reward. </w:t>
      </w:r>
      <w:r>
        <w:t>Abram’s security and recompense rest with Yahweh, not Sodom.</w:t>
      </w:r>
    </w:p>
    <w:p>
      <w:pPr>
        <w:spacing w:after="20"/>
      </w:pPr>
      <w:r>
        <w:rPr>
          <w:b/>
        </w:rPr>
        <w:t xml:space="preserve">Faith faces impossibility. </w:t>
      </w:r>
      <w:r>
        <w:t>Childlessness does not cancel the promise.</w:t>
      </w:r>
    </w:p>
    <w:p>
      <w:pPr>
        <w:spacing w:after="20"/>
      </w:pPr>
      <w:r>
        <w:rPr>
          <w:b/>
        </w:rPr>
        <w:t xml:space="preserve">Righteousness through faith. </w:t>
      </w:r>
      <w:r>
        <w:t>Genesis 15:6 becomes a foundational apostolic text in Romans, Galatians and James.</w:t>
      </w:r>
    </w:p>
    <w:p>
      <w:pPr>
        <w:spacing w:after="20"/>
      </w:pPr>
      <w:r>
        <w:rPr>
          <w:b/>
        </w:rPr>
        <w:t xml:space="preserve">Covenant confirmed by sacrifice. </w:t>
      </w:r>
      <w:r>
        <w:t>The divided victims dramatise a binding covenant unto death.</w:t>
      </w:r>
    </w:p>
    <w:p>
      <w:pPr>
        <w:spacing w:after="20"/>
      </w:pPr>
      <w:r>
        <w:rPr>
          <w:b/>
        </w:rPr>
        <w:t xml:space="preserve">History foretold. </w:t>
      </w:r>
      <w:r>
        <w:t>Affliction, judgment on Egypt, Exodus and return are announced beforehand.</w:t>
      </w:r>
    </w:p>
    <w:p>
      <w:pPr>
        <w:spacing w:after="20"/>
      </w:pPr>
      <w:r>
        <w:rPr>
          <w:b/>
        </w:rPr>
        <w:t xml:space="preserve">Judgment is patient. </w:t>
      </w:r>
      <w:r>
        <w:t>The Amorites are not judged until their iniquity is full.</w:t>
      </w:r>
    </w:p>
    <w:p>
      <w:pPr>
        <w:spacing w:after="20"/>
      </w:pPr>
      <w:r>
        <w:rPr>
          <w:b/>
        </w:rPr>
        <w:t xml:space="preserve">Divine guarantee. </w:t>
      </w:r>
      <w:r>
        <w:t>The furnace and lamp pass between the pieces.</w:t>
      </w:r>
    </w:p>
    <w:p>
      <w:pPr>
        <w:spacing w:after="20"/>
      </w:pPr>
      <w:r>
        <w:rPr>
          <w:b/>
        </w:rPr>
        <w:t xml:space="preserve">The land is concrete. </w:t>
      </w:r>
      <w:r>
        <w:t>The covenant includes defined peoples and boundaries.</w:t>
      </w:r>
    </w:p>
    <w:p>
      <w:pPr>
        <w:pStyle w:val="Heading1"/>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15:1</w:t>
            </w:r>
          </w:p>
        </w:tc>
        <w:tc>
          <w:tcPr>
            <w:tcW w:type="dxa" w:w="3672"/>
            <w:vAlign w:val="top"/>
          </w:tcPr>
          <w:p>
            <w:pPr>
              <w:spacing w:after="0" w:line="240" w:lineRule="auto"/>
            </w:pPr>
            <w:r>
              <w:rPr>
                <w:rFonts w:ascii="Times New Roman" w:hAnsi="Times New Roman"/>
                <w:sz w:val="16"/>
              </w:rPr>
              <w:t>dabar Yahweh; magen = shield/buckler; Heb. 11:6</w:t>
            </w:r>
          </w:p>
        </w:tc>
        <w:tc>
          <w:tcPr>
            <w:tcW w:type="dxa" w:w="4536"/>
            <w:vAlign w:val="top"/>
          </w:tcPr>
          <w:p>
            <w:pPr>
              <w:spacing w:after="0" w:line="240" w:lineRule="auto"/>
            </w:pPr>
            <w:r>
              <w:rPr>
                <w:rFonts w:ascii="Times New Roman" w:hAnsi="Times New Roman"/>
                <w:sz w:val="16"/>
              </w:rPr>
              <w:t>Recovers the opening lexical and reward notes.</w:t>
            </w:r>
          </w:p>
        </w:tc>
      </w:tr>
      <w:tr>
        <w:tc>
          <w:tcPr>
            <w:tcW w:type="dxa" w:w="1800"/>
            <w:vAlign w:val="top"/>
          </w:tcPr>
          <w:p>
            <w:pPr>
              <w:spacing w:after="0" w:line="240" w:lineRule="auto"/>
            </w:pPr>
            <w:r>
              <w:rPr>
                <w:rFonts w:ascii="Times New Roman" w:hAnsi="Times New Roman"/>
                <w:sz w:val="16"/>
              </w:rPr>
              <w:t>Gen. 15:2–3</w:t>
            </w:r>
          </w:p>
        </w:tc>
        <w:tc>
          <w:tcPr>
            <w:tcW w:type="dxa" w:w="3672"/>
            <w:vAlign w:val="top"/>
          </w:tcPr>
          <w:p>
            <w:pPr>
              <w:spacing w:after="0" w:line="240" w:lineRule="auto"/>
            </w:pPr>
            <w:r>
              <w:rPr>
                <w:rFonts w:ascii="Times New Roman" w:hAnsi="Times New Roman"/>
                <w:sz w:val="16"/>
              </w:rPr>
              <w:t>ben mesheq / household heir; Eliezer = “El is my help”</w:t>
            </w:r>
          </w:p>
        </w:tc>
        <w:tc>
          <w:tcPr>
            <w:tcW w:type="dxa" w:w="4536"/>
            <w:vAlign w:val="top"/>
          </w:tcPr>
          <w:p>
            <w:pPr>
              <w:spacing w:after="0" w:line="240" w:lineRule="auto"/>
            </w:pPr>
            <w:r>
              <w:rPr>
                <w:rFonts w:ascii="Times New Roman" w:hAnsi="Times New Roman"/>
                <w:sz w:val="16"/>
              </w:rPr>
              <w:t>Clarifies the childless-heir problem without replacing Scripture with archaeology.</w:t>
            </w:r>
          </w:p>
        </w:tc>
      </w:tr>
      <w:tr>
        <w:tc>
          <w:tcPr>
            <w:tcW w:type="dxa" w:w="1800"/>
            <w:vAlign w:val="top"/>
          </w:tcPr>
          <w:p>
            <w:pPr>
              <w:spacing w:after="0" w:line="240" w:lineRule="auto"/>
            </w:pPr>
            <w:r>
              <w:rPr>
                <w:rFonts w:ascii="Times New Roman" w:hAnsi="Times New Roman"/>
                <w:sz w:val="16"/>
              </w:rPr>
              <w:t>Gen. 15:5–6</w:t>
            </w:r>
          </w:p>
        </w:tc>
        <w:tc>
          <w:tcPr>
            <w:tcW w:type="dxa" w:w="3672"/>
            <w:vAlign w:val="top"/>
          </w:tcPr>
          <w:p>
            <w:pPr>
              <w:spacing w:after="0" w:line="240" w:lineRule="auto"/>
            </w:pPr>
            <w:r>
              <w:rPr>
                <w:rFonts w:ascii="Times New Roman" w:hAnsi="Times New Roman"/>
                <w:sz w:val="16"/>
              </w:rPr>
              <w:t>Rom. 4:3,18–22; Gal. 3:6–9; Jas. 2:23; aman faith-root</w:t>
            </w:r>
          </w:p>
        </w:tc>
        <w:tc>
          <w:tcPr>
            <w:tcW w:type="dxa" w:w="4536"/>
            <w:vAlign w:val="top"/>
          </w:tcPr>
          <w:p>
            <w:pPr>
              <w:spacing w:after="0" w:line="240" w:lineRule="auto"/>
            </w:pPr>
            <w:r>
              <w:rPr>
                <w:rFonts w:ascii="Times New Roman" w:hAnsi="Times New Roman"/>
                <w:sz w:val="16"/>
              </w:rPr>
              <w:t>Checks the central justification references and word study.</w:t>
            </w:r>
          </w:p>
        </w:tc>
      </w:tr>
      <w:tr>
        <w:tc>
          <w:tcPr>
            <w:tcW w:type="dxa" w:w="1800"/>
            <w:vAlign w:val="top"/>
          </w:tcPr>
          <w:p>
            <w:pPr>
              <w:spacing w:after="0" w:line="240" w:lineRule="auto"/>
            </w:pPr>
            <w:r>
              <w:rPr>
                <w:rFonts w:ascii="Times New Roman" w:hAnsi="Times New Roman"/>
                <w:sz w:val="16"/>
              </w:rPr>
              <w:t>Gen. 15:9–10</w:t>
            </w:r>
          </w:p>
        </w:tc>
        <w:tc>
          <w:tcPr>
            <w:tcW w:type="dxa" w:w="3672"/>
            <w:vAlign w:val="top"/>
          </w:tcPr>
          <w:p>
            <w:pPr>
              <w:spacing w:after="0" w:line="240" w:lineRule="auto"/>
            </w:pPr>
            <w:r>
              <w:rPr>
                <w:rFonts w:ascii="Times New Roman" w:hAnsi="Times New Roman"/>
                <w:sz w:val="16"/>
              </w:rPr>
              <w:t>bathar = divide/cut; Jer. 34:18–19</w:t>
            </w:r>
          </w:p>
        </w:tc>
        <w:tc>
          <w:tcPr>
            <w:tcW w:type="dxa" w:w="4536"/>
            <w:vAlign w:val="top"/>
          </w:tcPr>
          <w:p>
            <w:pPr>
              <w:spacing w:after="0" w:line="240" w:lineRule="auto"/>
            </w:pPr>
            <w:r>
              <w:rPr>
                <w:rFonts w:ascii="Times New Roman" w:hAnsi="Times New Roman"/>
                <w:sz w:val="16"/>
              </w:rPr>
              <w:t>Recovers the covenant-cutting practice.</w:t>
            </w:r>
          </w:p>
        </w:tc>
      </w:tr>
      <w:tr>
        <w:tc>
          <w:tcPr>
            <w:tcW w:type="dxa" w:w="1800"/>
            <w:vAlign w:val="top"/>
          </w:tcPr>
          <w:p>
            <w:pPr>
              <w:spacing w:after="0" w:line="240" w:lineRule="auto"/>
            </w:pPr>
            <w:r>
              <w:rPr>
                <w:rFonts w:ascii="Times New Roman" w:hAnsi="Times New Roman"/>
                <w:sz w:val="16"/>
              </w:rPr>
              <w:t>Gen. 15:13–14</w:t>
            </w:r>
          </w:p>
        </w:tc>
        <w:tc>
          <w:tcPr>
            <w:tcW w:type="dxa" w:w="3672"/>
            <w:vAlign w:val="top"/>
          </w:tcPr>
          <w:p>
            <w:pPr>
              <w:spacing w:after="0" w:line="240" w:lineRule="auto"/>
            </w:pPr>
            <w:r>
              <w:rPr>
                <w:rFonts w:ascii="Times New Roman" w:hAnsi="Times New Roman"/>
                <w:sz w:val="16"/>
              </w:rPr>
              <w:t>Acts 7:6–7; Exod. 12:40; Exod. 12:36; Psa. 105:37</w:t>
            </w:r>
          </w:p>
        </w:tc>
        <w:tc>
          <w:tcPr>
            <w:tcW w:type="dxa" w:w="4536"/>
            <w:vAlign w:val="top"/>
          </w:tcPr>
          <w:p>
            <w:pPr>
              <w:spacing w:after="0" w:line="240" w:lineRule="auto"/>
            </w:pPr>
            <w:r>
              <w:rPr>
                <w:rFonts w:ascii="Times New Roman" w:hAnsi="Times New Roman"/>
                <w:sz w:val="16"/>
              </w:rPr>
              <w:t>Checks 400/430-year and Exodus references; chronology labelled as Mansfield’s reconciliation.</w:t>
            </w:r>
          </w:p>
        </w:tc>
      </w:tr>
      <w:tr>
        <w:tc>
          <w:tcPr>
            <w:tcW w:type="dxa" w:w="1800"/>
            <w:vAlign w:val="top"/>
          </w:tcPr>
          <w:p>
            <w:pPr>
              <w:spacing w:after="0" w:line="240" w:lineRule="auto"/>
            </w:pPr>
            <w:r>
              <w:rPr>
                <w:rFonts w:ascii="Times New Roman" w:hAnsi="Times New Roman"/>
                <w:sz w:val="16"/>
              </w:rPr>
              <w:t>Gen. 15:16</w:t>
            </w:r>
          </w:p>
        </w:tc>
        <w:tc>
          <w:tcPr>
            <w:tcW w:type="dxa" w:w="3672"/>
            <w:vAlign w:val="top"/>
          </w:tcPr>
          <w:p>
            <w:pPr>
              <w:spacing w:after="0" w:line="240" w:lineRule="auto"/>
            </w:pPr>
            <w:r>
              <w:rPr>
                <w:rFonts w:ascii="Times New Roman" w:hAnsi="Times New Roman"/>
                <w:sz w:val="16"/>
              </w:rPr>
              <w:t>Joshua 24:2; fourth-generation note</w:t>
            </w:r>
          </w:p>
        </w:tc>
        <w:tc>
          <w:tcPr>
            <w:tcW w:type="dxa" w:w="4536"/>
            <w:vAlign w:val="top"/>
          </w:tcPr>
          <w:p>
            <w:pPr>
              <w:spacing w:after="0" w:line="240" w:lineRule="auto"/>
            </w:pPr>
            <w:r>
              <w:rPr>
                <w:rFonts w:ascii="Times New Roman" w:hAnsi="Times New Roman"/>
                <w:sz w:val="16"/>
              </w:rPr>
              <w:t>Separates burial idiom and chronology from heaven-going assumptions.</w:t>
            </w:r>
          </w:p>
        </w:tc>
      </w:tr>
      <w:tr>
        <w:tc>
          <w:tcPr>
            <w:tcW w:type="dxa" w:w="1800"/>
            <w:vAlign w:val="top"/>
          </w:tcPr>
          <w:p>
            <w:pPr>
              <w:spacing w:after="0" w:line="240" w:lineRule="auto"/>
            </w:pPr>
            <w:r>
              <w:rPr>
                <w:rFonts w:ascii="Times New Roman" w:hAnsi="Times New Roman"/>
                <w:sz w:val="16"/>
              </w:rPr>
              <w:t>Gen. 15:17</w:t>
            </w:r>
          </w:p>
        </w:tc>
        <w:tc>
          <w:tcPr>
            <w:tcW w:type="dxa" w:w="3672"/>
            <w:vAlign w:val="top"/>
          </w:tcPr>
          <w:p>
            <w:pPr>
              <w:spacing w:after="0" w:line="240" w:lineRule="auto"/>
            </w:pPr>
            <w:r>
              <w:rPr>
                <w:rFonts w:ascii="Times New Roman" w:hAnsi="Times New Roman"/>
                <w:sz w:val="16"/>
              </w:rPr>
              <w:t>fire-pot/furnace; Rev. 4:5; Rom. 15:8; Luke 22:20</w:t>
            </w:r>
          </w:p>
        </w:tc>
        <w:tc>
          <w:tcPr>
            <w:tcW w:type="dxa" w:w="4536"/>
            <w:vAlign w:val="top"/>
          </w:tcPr>
          <w:p>
            <w:pPr>
              <w:spacing w:after="0" w:line="240" w:lineRule="auto"/>
            </w:pPr>
            <w:r>
              <w:rPr>
                <w:rFonts w:ascii="Times New Roman" w:hAnsi="Times New Roman"/>
                <w:sz w:val="16"/>
              </w:rPr>
              <w:t>Recovers the covenant-symbol application.</w:t>
            </w:r>
          </w:p>
        </w:tc>
      </w:tr>
      <w:tr>
        <w:tc>
          <w:tcPr>
            <w:tcW w:type="dxa" w:w="1800"/>
            <w:vAlign w:val="top"/>
          </w:tcPr>
          <w:p>
            <w:pPr>
              <w:spacing w:after="0" w:line="240" w:lineRule="auto"/>
            </w:pPr>
            <w:r>
              <w:rPr>
                <w:rFonts w:ascii="Times New Roman" w:hAnsi="Times New Roman"/>
                <w:sz w:val="16"/>
              </w:rPr>
              <w:t>Gen. 15:18</w:t>
            </w:r>
          </w:p>
        </w:tc>
        <w:tc>
          <w:tcPr>
            <w:tcW w:type="dxa" w:w="3672"/>
            <w:vAlign w:val="top"/>
          </w:tcPr>
          <w:p>
            <w:pPr>
              <w:spacing w:after="0" w:line="240" w:lineRule="auto"/>
            </w:pPr>
            <w:r>
              <w:rPr>
                <w:rFonts w:ascii="Times New Roman" w:hAnsi="Times New Roman"/>
                <w:sz w:val="16"/>
              </w:rPr>
              <w:t>karath berith = cut a covenant; nahar vs nachal boundary note</w:t>
            </w:r>
          </w:p>
        </w:tc>
        <w:tc>
          <w:tcPr>
            <w:tcW w:type="dxa" w:w="4536"/>
            <w:vAlign w:val="top"/>
          </w:tcPr>
          <w:p>
            <w:pPr>
              <w:spacing w:after="0" w:line="240" w:lineRule="auto"/>
            </w:pPr>
            <w:r>
              <w:rPr>
                <w:rFonts w:ascii="Times New Roman" w:hAnsi="Times New Roman"/>
                <w:sz w:val="16"/>
              </w:rPr>
              <w:t>Clarifies Mansfield’s Nile interpretation while preserving interpretive caution.</w:t>
            </w:r>
          </w:p>
        </w:tc>
      </w:tr>
    </w:tbl>
    <w:p>
      <w:pPr>
        <w:pStyle w:val="Heading1"/>
      </w:pPr>
      <w:r>
        <w:t>RESIDUAL UNCERTAINTIES</w:t>
      </w:r>
    </w:p>
    <w:p>
      <w:pPr>
        <w:ind w:left="230" w:hanging="173"/>
      </w:pPr>
      <w:r>
        <w:t>•  The detailed symbolic identity of the birds of prey in the HPB margin cannot be recovered safely from the photographed handwriting.</w:t>
      </w:r>
    </w:p>
    <w:p>
      <w:pPr>
        <w:ind w:left="230" w:hanging="173"/>
      </w:pPr>
      <w:r>
        <w:t>•  Several small chronology figures attached to the 400/430-year discussion are indistinct; the finished note records Mansfield’s published reconciliation instead of reconstructing unreadable arithmetic.</w:t>
      </w:r>
    </w:p>
    <w:p>
      <w:pPr>
        <w:ind w:left="230" w:hanging="173"/>
      </w:pPr>
      <w:r>
        <w:t>•  Some references in the boxed “Borders of the Land” list remain too small to verify individually; the principal boundary statement and later biblical parallels are preserved.</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