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E4267"/>
          <w:sz w:val="44"/>
        </w:rPr>
        <w:t>GENESIS 16</w:t>
      </w:r>
    </w:p>
    <w:p>
      <w:pPr>
        <w:pBdr>
          <w:bottom w:val="single" w:sz="10" w:color="4A86D4"/>
        </w:pBdr>
        <w:spacing w:after="160"/>
      </w:pPr>
    </w:p>
    <w:p>
      <w:pPr>
        <w:jc w:val="center"/>
      </w:pPr>
      <w:r>
        <w:rPr>
          <w:rFonts w:ascii="Arial" w:hAnsi="Arial"/>
          <w:b/>
          <w:i/>
          <w:color w:val="4A86D4"/>
          <w:sz w:val="22"/>
        </w:rPr>
        <w:t>THE SEED OF THE FLESH • HAGAR IN FLIGHT • EL HEARS AND EL SEES</w:t>
      </w:r>
    </w:p>
    <w:p>
      <w:pPr>
        <w:jc w:val="center"/>
      </w:pPr>
      <w:r>
        <w:rPr>
          <w:i/>
          <w:sz w:val="19"/>
        </w:rPr>
        <w:t>H. P. Mansfield Bible notes — checked and arranged in verse-by-verse Expositor style</w:t>
      </w:r>
    </w:p>
    <w:p>
      <w:pPr>
        <w:spacing w:after="160"/>
        <w:jc w:val="center"/>
      </w:pPr>
      <w:r>
        <w:rPr>
          <w:sz w:val="17"/>
        </w:rPr>
        <w:t>Source: HPB 01-Gen01-Gen41.PDF, Genesis 16 photographed pages 60–61</w:t>
      </w:r>
    </w:p>
    <w:p>
      <w:pPr>
        <w:pStyle w:val="Heading1"/>
      </w:pPr>
      <w:r>
        <w:t>CHAPTER OVERVIEW</w:t>
      </w:r>
    </w:p>
    <w:p>
      <w:r>
        <w:t>Genesis 16 records the attempt to obtain the promised seed by a natural expedient. Sarai remains barren, Hagar is given to Abram, conception produces contempt and conflict, and the arrangement ends with Hagar fleeing into the wilderness.</w:t>
      </w:r>
    </w:p>
    <w:p>
      <w:r>
        <w:t>Mansfield also follows Paul’s inspired use of the history in Galatians 4:21–31: Hagar can be read allegorically in relation to the Sinai covenant and bondage, while Sarah represents the promise received by faith. The historical narrative remains primary; the allegory is an apostolic application of real events.</w:t>
      </w:r>
    </w:p>
    <w:p>
      <w:pPr>
        <w:pStyle w:val="Heading1"/>
      </w:pPr>
      <w:r>
        <w:t>ABRAM MARRIES HAGAR — GENESIS 16:1–6</w:t>
      </w:r>
    </w:p>
    <w:p>
      <w:pPr>
        <w:spacing w:before="80" w:after="20"/>
      </w:pPr>
      <w:r>
        <w:rPr>
          <w:rFonts w:ascii="Arial" w:hAnsi="Arial"/>
          <w:b/>
          <w:color w:val="2F67A7"/>
          <w:sz w:val="22"/>
        </w:rPr>
        <w:t>Genesis 16:1 — “Sarai… bare him no children… an handmaid… Hagar”</w:t>
      </w:r>
    </w:p>
    <w:p>
      <w:pPr>
        <w:spacing w:after="60" w:line="240" w:lineRule="auto"/>
      </w:pPr>
      <w:r>
        <w:t>Sarai’s barrenness remains the pressure point left unresolved by Genesis 15. Hagar is identified as Egyptian, probably acquired during the earlier sojourn in Egypt. Published Mansfield gives Hagar’s name in the sense Wanderer, Fugitive or Sojourner.</w:t>
      </w:r>
    </w:p>
    <w:p>
      <w:pPr>
        <w:spacing w:after="60" w:line="240" w:lineRule="auto"/>
      </w:pPr>
      <w:r>
        <w:t>Galatians 4:24–25 supplies Mansfield’s controlling allegorical cross-reference: Hagar represents the covenant associated with Sinai and bondage. Hebrews 11:11 later emphasises that Sarah herself receives strength to conceive through faith.</w:t>
      </w:r>
    </w:p>
    <w:p>
      <w:pPr>
        <w:spacing w:before="80" w:after="20"/>
      </w:pPr>
      <w:r>
        <w:rPr>
          <w:rFonts w:ascii="Arial" w:hAnsi="Arial"/>
          <w:b/>
          <w:color w:val="2F67A7"/>
          <w:sz w:val="22"/>
        </w:rPr>
        <w:t>Genesis 16:2 — “Yahweh hath restrained me… go in unto my maid”</w:t>
      </w:r>
    </w:p>
    <w:p>
      <w:pPr>
        <w:spacing w:after="60" w:line="240" w:lineRule="auto"/>
      </w:pPr>
      <w:r>
        <w:t>Sarai correctly recognises that her barrenness is under Divine control, but then devises a human means of obtaining the promised child. The custom of a barren wife providing a servant-wife is historically intelligible, yet the narrative exposes the spiritual danger of trying to manufacture the fulfilment of a Divine promise.</w:t>
      </w:r>
    </w:p>
    <w:p>
      <w:pPr>
        <w:spacing w:after="60" w:line="240" w:lineRule="auto"/>
      </w:pPr>
      <w:r>
        <w:t>“Abram hearkened to the voice of Sarai” is deliberately marked. Mansfield compares the language with the failure of Eden and stresses that apparently reasonable human counsel can displace patient dependence on God.</w:t>
      </w:r>
    </w:p>
    <w:p>
      <w:pPr>
        <w:spacing w:before="80" w:after="20"/>
      </w:pPr>
      <w:r>
        <w:rPr>
          <w:rFonts w:ascii="Arial" w:hAnsi="Arial"/>
          <w:b/>
          <w:color w:val="2F67A7"/>
          <w:sz w:val="22"/>
        </w:rPr>
        <w:t>Genesis 16:3 — “after Abram had dwelt ten years in the land of Canaan”</w:t>
      </w:r>
    </w:p>
    <w:p>
      <w:pPr>
        <w:spacing w:after="60" w:line="240" w:lineRule="auto"/>
      </w:pPr>
      <w:r>
        <w:t>The ten years emphasise prolonged waiting. Mansfield links the lesson with Psalm 27:14 and 40:1: delay is not abandonment. Galatians 4:4 provides the contrasting principle that God acts in “the fulness of the time.”</w:t>
      </w:r>
    </w:p>
    <w:p>
      <w:pPr>
        <w:spacing w:before="80" w:after="20"/>
      </w:pPr>
      <w:r>
        <w:rPr>
          <w:rFonts w:ascii="Arial" w:hAnsi="Arial"/>
          <w:b/>
          <w:color w:val="2F67A7"/>
          <w:sz w:val="22"/>
        </w:rPr>
        <w:t>Genesis 16:4 — “when she saw that she had conceived, her mistress was despised”</w:t>
      </w:r>
    </w:p>
    <w:p>
      <w:pPr>
        <w:spacing w:after="60" w:line="240" w:lineRule="auto"/>
      </w:pPr>
      <w:r>
        <w:t>The immediate fruit is rivalry. The recovered word note is qalal: to make light of, slight or treat as of little account. Mansfield compares Hannah and Peninnah (1 Samuel 1:6) and applies the incident allegorically to confidence in law displacing the principle of faith.</w:t>
      </w:r>
    </w:p>
    <w:p>
      <w:pPr>
        <w:spacing w:before="80" w:after="20"/>
      </w:pPr>
      <w:r>
        <w:rPr>
          <w:rFonts w:ascii="Arial" w:hAnsi="Arial"/>
          <w:b/>
          <w:color w:val="2F67A7"/>
          <w:sz w:val="22"/>
        </w:rPr>
        <w:t>Genesis 16:5–6 — complaint, discipline and flight</w:t>
      </w:r>
    </w:p>
    <w:p>
      <w:pPr>
        <w:spacing w:after="60" w:line="240" w:lineRule="auto"/>
      </w:pPr>
      <w:r>
        <w:t>Sarai’s own proposal returns upon her in conflict. Abram recognises that Hagar remains under Sarai’s household authority. “Dealt hardly” is clarified by the KJV margin/published exposition as “afflicted her”: discipline intended to restore Hagar to her subordinate position.</w:t>
      </w:r>
    </w:p>
    <w:p>
      <w:pPr>
        <w:spacing w:after="60" w:line="240" w:lineRule="auto"/>
      </w:pPr>
      <w:r>
        <w:t>Hagar flees rather than submits. Mansfield develops a historical allegory from this and Galatians 4, but the safest verse-level point is simpler: fleshly expediency has produced contempt, blame, harshness and separation.</w:t>
      </w:r>
    </w:p>
    <w:p>
      <w:pPr>
        <w:pStyle w:val="Heading1"/>
      </w:pPr>
      <w:r>
        <w:t>HAGAR FOUND IN THE WILDERNESS — GENESIS 16:7–14</w:t>
      </w:r>
    </w:p>
    <w:p>
      <w:pPr>
        <w:spacing w:before="80" w:after="20"/>
      </w:pPr>
      <w:r>
        <w:rPr>
          <w:rFonts w:ascii="Arial" w:hAnsi="Arial"/>
          <w:b/>
          <w:color w:val="2F67A7"/>
          <w:sz w:val="22"/>
        </w:rPr>
        <w:t>Genesis 16:7 — “the angel of Yahweh found her”</w:t>
      </w:r>
    </w:p>
    <w:p>
      <w:pPr>
        <w:spacing w:after="60" w:line="240" w:lineRule="auto"/>
      </w:pPr>
      <w:r>
        <w:t>This is the first biblical occurrence of the expression “angel of Yahweh.” Mansfield recovers malak as messenger—one sent or dispatched. Hebrews 1:14 is used for angels as ministering spirits sent in service to the heirs of salvation.</w:t>
      </w:r>
    </w:p>
    <w:p>
      <w:pPr>
        <w:spacing w:after="60" w:line="240" w:lineRule="auto"/>
      </w:pPr>
      <w:r>
        <w:t>The verb “found” is important: Hagar is a fugitive, but she is not forgotten. The fountain lies on the way to Shur, a region “over against Egypt” (compare 1 Samuel 15:7), showing that she is heading back toward her native land.</w:t>
      </w:r>
    </w:p>
    <w:p>
      <w:pPr>
        <w:spacing w:before="80" w:after="20"/>
      </w:pPr>
      <w:r>
        <w:rPr>
          <w:rFonts w:ascii="Arial" w:hAnsi="Arial"/>
          <w:b/>
          <w:color w:val="2F67A7"/>
          <w:sz w:val="22"/>
        </w:rPr>
        <w:t>Genesis 16:8 — “whence camest thou? and whither wilt thou go?”</w:t>
      </w:r>
    </w:p>
    <w:p>
      <w:pPr>
        <w:spacing w:after="60" w:line="240" w:lineRule="auto"/>
      </w:pPr>
      <w:r>
        <w:t>The messenger addresses her personally as “Hagar, Sarai’s maid,” simultaneously showing knowledge of her circumstances and reminding her of her relationship and obligation. Hagar admits plainly that she is fleeing from Sarai.</w:t>
      </w:r>
    </w:p>
    <w:p>
      <w:pPr>
        <w:spacing w:before="80" w:after="20"/>
      </w:pPr>
      <w:r>
        <w:rPr>
          <w:rFonts w:ascii="Arial" w:hAnsi="Arial"/>
          <w:b/>
          <w:color w:val="2F67A7"/>
          <w:sz w:val="22"/>
        </w:rPr>
        <w:t>Genesis 16:9 — “Return… and submit thyself under her hands”</w:t>
      </w:r>
    </w:p>
    <w:p>
      <w:pPr>
        <w:spacing w:after="60" w:line="240" w:lineRule="auto"/>
      </w:pPr>
      <w:r>
        <w:t>Divine compassion does not simply validate flight. Hagar is required to return and submit. Mansfield compares the prophetic call to dispersed Israel to return to Yahweh, while the immediate narrative teaches humility and restored responsibility.</w:t>
      </w:r>
    </w:p>
    <w:p>
      <w:pPr>
        <w:spacing w:before="80" w:after="20"/>
      </w:pPr>
      <w:r>
        <w:rPr>
          <w:rFonts w:ascii="Arial" w:hAnsi="Arial"/>
          <w:b/>
          <w:color w:val="2F67A7"/>
          <w:sz w:val="22"/>
        </w:rPr>
        <w:t>Genesis 16:10 — “I will multiply thy seed exceedingly”</w:t>
      </w:r>
    </w:p>
    <w:p>
      <w:pPr>
        <w:spacing w:after="60" w:line="240" w:lineRule="auto"/>
      </w:pPr>
      <w:r>
        <w:t>Hagar receives a genuine promise of numerous descendants. Mansfield applies this naturally to Ishmael’s descendants and, within Paul’s allegory, to Israel after the flesh. Isaiah 60:6–7 is among his future Arab-related cross-references; the verse itself guarantees multiplication without making Ishmael the covenant seed promised through Sarah.</w:t>
      </w:r>
    </w:p>
    <w:p>
      <w:pPr>
        <w:spacing w:before="80" w:after="20"/>
      </w:pPr>
      <w:r>
        <w:rPr>
          <w:rFonts w:ascii="Arial" w:hAnsi="Arial"/>
          <w:b/>
          <w:color w:val="2F67A7"/>
          <w:sz w:val="22"/>
        </w:rPr>
        <w:t>Genesis 16:11 — “thou shalt call his name Ishmael… Yahweh hath heard thy affliction”</w:t>
      </w:r>
    </w:p>
    <w:p>
      <w:pPr>
        <w:spacing w:after="60" w:line="240" w:lineRule="auto"/>
      </w:pPr>
      <w:r>
        <w:t>The name note is recoverable: Ishmael is connected with “El hears” or “Whom El hears.” The narrative itself supplies the interpretation—his name memorialises that Yahweh heard Hagar’s affliction. Exodus 3:7 gives Mansfield a later parallel of God hearing/seeing affliction.</w:t>
      </w:r>
    </w:p>
    <w:p>
      <w:pPr>
        <w:spacing w:before="80" w:after="20"/>
      </w:pPr>
      <w:r>
        <w:rPr>
          <w:rFonts w:ascii="Arial" w:hAnsi="Arial"/>
          <w:b/>
          <w:color w:val="2F67A7"/>
          <w:sz w:val="22"/>
        </w:rPr>
        <w:t>Genesis 16:12 — “he will be a wild man”</w:t>
      </w:r>
    </w:p>
    <w:p>
      <w:pPr>
        <w:spacing w:after="60" w:line="240" w:lineRule="auto"/>
      </w:pPr>
      <w:r>
        <w:t>The Hebrew phrase is pereh adam, literally a wild-ass man / wild ass of a man. Job 39:5–8 supplies the biblical description Mansfield uses: freedom-loving, hardy and difficult to restrain.</w:t>
      </w:r>
    </w:p>
    <w:p>
      <w:pPr>
        <w:spacing w:after="60" w:line="240" w:lineRule="auto"/>
      </w:pPr>
      <w:r>
        <w:t>The statements about his hand against others and dwelling “in the presence of” his brethren are retained as prophetic descriptions. Later ethnographic applications in the HPB margin are treated as Mansfield’s historical interpretation rather than as definitions of modern peoples.</w:t>
      </w:r>
    </w:p>
    <w:p>
      <w:pPr>
        <w:spacing w:before="80" w:after="20"/>
      </w:pPr>
      <w:r>
        <w:rPr>
          <w:rFonts w:ascii="Arial" w:hAnsi="Arial"/>
          <w:b/>
          <w:color w:val="2F67A7"/>
          <w:sz w:val="22"/>
        </w:rPr>
        <w:t>Genesis 16:13 — “Thou God seest me” — El-Roi</w:t>
      </w:r>
    </w:p>
    <w:p>
      <w:pPr>
        <w:spacing w:after="60" w:line="240" w:lineRule="auto"/>
      </w:pPr>
      <w:r>
        <w:t>The obscured title can be recovered confidently from the published exposition: El-Roi means “El of Seeing,” from ra’ah, to see. Mansfield links the title with the earlier name Ishmael: El hears and El sees—and, as El, has power to help.</w:t>
      </w:r>
    </w:p>
    <w:p>
      <w:pPr>
        <w:spacing w:after="60" w:line="240" w:lineRule="auto"/>
      </w:pPr>
      <w:r>
        <w:t>The difficult clause “Have I also here looked after him that seeth me?” has received many translations. Mansfield cites a rendering involving “the latter purposes/designs of Him who sees me,” connecting Hebrew ’ahar with after/latter time. Because that is an interpretive proposal rather than a secure translation, the finished note records it as Mansfield’s suggestion, not as a correction to the KJV.</w:t>
      </w:r>
    </w:p>
    <w:p>
      <w:pPr>
        <w:spacing w:before="80" w:after="20"/>
      </w:pPr>
      <w:r>
        <w:rPr>
          <w:rFonts w:ascii="Arial" w:hAnsi="Arial"/>
          <w:b/>
          <w:color w:val="2F67A7"/>
          <w:sz w:val="22"/>
        </w:rPr>
        <w:t>Genesis 16:14 — “Beer-lahai-roi”</w:t>
      </w:r>
    </w:p>
    <w:p>
      <w:pPr>
        <w:spacing w:after="60" w:line="240" w:lineRule="auto"/>
      </w:pPr>
      <w:r>
        <w:t>The KJV margin and Mansfield’s published note recover the sense: “the well of Him that liveth and seeth me,” or “the well of the Living One—my Seer.” Mansfield also notes the paraphrase “Well of Life and Vision.”</w:t>
      </w:r>
    </w:p>
    <w:p>
      <w:pPr>
        <w:spacing w:after="60" w:line="240" w:lineRule="auto"/>
      </w:pPr>
      <w:r>
        <w:t>The well lies between Kadesh (“sanctuary/holy”) and Bered (“hail/storm”) in Mansfield’s place-name exposition, which he uses homiletically as life and vision between sanctuary and storm. The lexical/place-name application is retained as his exposition.</w:t>
      </w:r>
    </w:p>
    <w:p>
      <w:pPr>
        <w:pStyle w:val="Heading1"/>
      </w:pPr>
      <w:r>
        <w:t>ISHMAEL BORN — GENESIS 16:15–16</w:t>
      </w:r>
    </w:p>
    <w:p>
      <w:pPr>
        <w:spacing w:before="80" w:after="20"/>
      </w:pPr>
      <w:r>
        <w:rPr>
          <w:rFonts w:ascii="Arial" w:hAnsi="Arial"/>
          <w:b/>
          <w:color w:val="2F67A7"/>
          <w:sz w:val="22"/>
        </w:rPr>
        <w:t>Genesis 16:15 — “Hagar bare Abram a son… Ishmael”</w:t>
      </w:r>
    </w:p>
    <w:p>
      <w:pPr>
        <w:spacing w:after="60" w:line="240" w:lineRule="auto"/>
      </w:pPr>
      <w:r>
        <w:t>Hagar returns as commanded and the child is born. Abram accepts the divinely appointed name Ishmael. The record thereby closes the flight episode with obedience and preservation, while leaving the central promise of Genesis 15 still unresolved.</w:t>
      </w:r>
    </w:p>
    <w:p>
      <w:pPr>
        <w:spacing w:before="80" w:after="20"/>
      </w:pPr>
      <w:r>
        <w:rPr>
          <w:rFonts w:ascii="Arial" w:hAnsi="Arial"/>
          <w:b/>
          <w:color w:val="2F67A7"/>
          <w:sz w:val="22"/>
        </w:rPr>
        <w:t>Genesis 16:16 — “Abram was fourscore and six years old”</w:t>
      </w:r>
    </w:p>
    <w:p>
      <w:pPr>
        <w:spacing w:after="60" w:line="240" w:lineRule="auto"/>
      </w:pPr>
      <w:r>
        <w:t>Abram is eighty-six at Ishmael’s birth. The age becomes an important chronological marker: thirteen more years pass before Genesis 17, and Isaac will not be born until Abraham is one hundred (Genesis 21:5). The interval underlines the difference between human timing and Divine fulfilment.</w:t>
      </w:r>
    </w:p>
    <w:p>
      <w:pPr>
        <w:pStyle w:val="Heading1"/>
      </w:pPr>
      <w:r>
        <w:t>PRINCIPAL THEMES</w:t>
      </w:r>
    </w:p>
    <w:p>
      <w:pPr>
        <w:spacing w:after="20"/>
      </w:pPr>
      <w:r>
        <w:rPr>
          <w:b/>
        </w:rPr>
        <w:t xml:space="preserve">Impatience with Divine timing. </w:t>
      </w:r>
      <w:r>
        <w:t>A plausible human solution is not necessarily God’s promised way.</w:t>
      </w:r>
    </w:p>
    <w:p>
      <w:pPr>
        <w:spacing w:after="20"/>
      </w:pPr>
      <w:r>
        <w:rPr>
          <w:b/>
        </w:rPr>
        <w:t xml:space="preserve">The flesh produces conflict. </w:t>
      </w:r>
      <w:r>
        <w:t>Conception is followed immediately by contempt, blame, harshness and flight.</w:t>
      </w:r>
    </w:p>
    <w:p>
      <w:pPr>
        <w:spacing w:after="20"/>
      </w:pPr>
      <w:r>
        <w:rPr>
          <w:b/>
        </w:rPr>
        <w:t xml:space="preserve">Historical event and inspired allegory. </w:t>
      </w:r>
      <w:r>
        <w:t>Galatians 4 uses Hagar and Sarah to explain bondage and promise without denying the history.</w:t>
      </w:r>
    </w:p>
    <w:p>
      <w:pPr>
        <w:spacing w:after="20"/>
      </w:pPr>
      <w:r>
        <w:rPr>
          <w:b/>
        </w:rPr>
        <w:t xml:space="preserve">God seeks the afflicted. </w:t>
      </w:r>
      <w:r>
        <w:t>The angel finds Hagar in the wilderness.</w:t>
      </w:r>
    </w:p>
    <w:p>
      <w:pPr>
        <w:spacing w:after="20"/>
      </w:pPr>
      <w:r>
        <w:rPr>
          <w:b/>
        </w:rPr>
        <w:t xml:space="preserve">God hears and sees. </w:t>
      </w:r>
      <w:r>
        <w:t>Ishmael and El-Roi become memorial names of Divine awareness.</w:t>
      </w:r>
    </w:p>
    <w:p>
      <w:pPr>
        <w:spacing w:after="20"/>
      </w:pPr>
      <w:r>
        <w:rPr>
          <w:b/>
        </w:rPr>
        <w:t xml:space="preserve">Compassion includes correction. </w:t>
      </w:r>
      <w:r>
        <w:t>Hagar is comforted but also commanded to return and submit.</w:t>
      </w:r>
    </w:p>
    <w:p>
      <w:pPr>
        <w:spacing w:after="20"/>
      </w:pPr>
      <w:r>
        <w:rPr>
          <w:b/>
        </w:rPr>
        <w:t xml:space="preserve">Ishmael is preserved. </w:t>
      </w:r>
      <w:r>
        <w:t>He receives multiplication and a future, though the covenant seed is still to come through Sarah.</w:t>
      </w:r>
    </w:p>
    <w:p>
      <w:pPr>
        <w:pStyle w:val="Heading1"/>
      </w:pPr>
      <w:r>
        <w:t>EDITORIAL VERIFICATION AND RECOVERED READINGS</w:t>
      </w:r>
    </w:p>
    <w:tbl>
      <w:tblPr>
        <w:tblStyle w:val="TableGrid"/>
        <w:tblW w:type="auto" w:w="0"/>
        <w:jc w:val="center"/>
        <w:tblLayout w:type="fixed"/>
        <w:tblLook w:firstColumn="1" w:firstRow="1" w:lastColumn="0" w:lastRow="0" w:noHBand="0" w:noVBand="1" w:val="04A0"/>
      </w:tblPr>
      <w:tblGrid>
        <w:gridCol w:w="1800"/>
        <w:gridCol w:w="3672"/>
        <w:gridCol w:w="4536"/>
      </w:tblGrid>
      <w:tr>
        <w:tc>
          <w:tcPr>
            <w:tcW w:type="dxa" w:w="3485"/>
            <w:shd w:fill="EAF0F8"/>
          </w:tcPr>
          <w:p>
            <w:r>
              <w:rPr>
                <w:b/>
              </w:rPr>
              <w:t>Location</w:t>
            </w:r>
          </w:p>
        </w:tc>
        <w:tc>
          <w:tcPr>
            <w:tcW w:type="dxa" w:w="3485"/>
            <w:shd w:fill="EAF0F8"/>
          </w:tcPr>
          <w:p>
            <w:r>
              <w:rPr>
                <w:b/>
              </w:rPr>
              <w:t>Checked / corrected reading</w:t>
            </w:r>
          </w:p>
        </w:tc>
        <w:tc>
          <w:tcPr>
            <w:tcW w:type="dxa" w:w="3485"/>
            <w:shd w:fill="EAF0F8"/>
          </w:tcPr>
          <w:p>
            <w:r>
              <w:rPr>
                <w:b/>
              </w:rPr>
              <w:t>Basis</w:t>
            </w:r>
          </w:p>
        </w:tc>
      </w:tr>
      <w:tr>
        <w:tc>
          <w:tcPr>
            <w:tcW w:type="dxa" w:w="1800"/>
            <w:vAlign w:val="top"/>
          </w:tcPr>
          <w:p>
            <w:pPr>
              <w:spacing w:after="0" w:line="240" w:lineRule="auto"/>
            </w:pPr>
            <w:r>
              <w:rPr>
                <w:rFonts w:ascii="Times New Roman" w:hAnsi="Times New Roman"/>
                <w:sz w:val="16"/>
              </w:rPr>
              <w:t>Gen. 16:1</w:t>
            </w:r>
          </w:p>
        </w:tc>
        <w:tc>
          <w:tcPr>
            <w:tcW w:type="dxa" w:w="3672"/>
            <w:vAlign w:val="top"/>
          </w:tcPr>
          <w:p>
            <w:pPr>
              <w:spacing w:after="0" w:line="240" w:lineRule="auto"/>
            </w:pPr>
            <w:r>
              <w:rPr>
                <w:rFonts w:ascii="Times New Roman" w:hAnsi="Times New Roman"/>
                <w:sz w:val="16"/>
              </w:rPr>
              <w:t>Hagar = Wanderer / Fugitive / Sojourner; Gal. 4:24–25</w:t>
            </w:r>
          </w:p>
        </w:tc>
        <w:tc>
          <w:tcPr>
            <w:tcW w:type="dxa" w:w="4536"/>
            <w:vAlign w:val="top"/>
          </w:tcPr>
          <w:p>
            <w:pPr>
              <w:spacing w:after="0" w:line="240" w:lineRule="auto"/>
            </w:pPr>
            <w:r>
              <w:rPr>
                <w:rFonts w:ascii="Times New Roman" w:hAnsi="Times New Roman"/>
                <w:sz w:val="16"/>
              </w:rPr>
              <w:t>Recovers Mansfield’s name note and apostolic allegorical framework.</w:t>
            </w:r>
          </w:p>
        </w:tc>
      </w:tr>
      <w:tr>
        <w:tc>
          <w:tcPr>
            <w:tcW w:type="dxa" w:w="1800"/>
            <w:vAlign w:val="top"/>
          </w:tcPr>
          <w:p>
            <w:pPr>
              <w:spacing w:after="0" w:line="240" w:lineRule="auto"/>
            </w:pPr>
            <w:r>
              <w:rPr>
                <w:rFonts w:ascii="Times New Roman" w:hAnsi="Times New Roman"/>
                <w:sz w:val="16"/>
              </w:rPr>
              <w:t>Gen. 16:4</w:t>
            </w:r>
          </w:p>
        </w:tc>
        <w:tc>
          <w:tcPr>
            <w:tcW w:type="dxa" w:w="3672"/>
            <w:vAlign w:val="top"/>
          </w:tcPr>
          <w:p>
            <w:pPr>
              <w:spacing w:after="0" w:line="240" w:lineRule="auto"/>
            </w:pPr>
            <w:r>
              <w:rPr>
                <w:rFonts w:ascii="Times New Roman" w:hAnsi="Times New Roman"/>
                <w:sz w:val="16"/>
              </w:rPr>
              <w:t>qalal = make light of / despise</w:t>
            </w:r>
          </w:p>
        </w:tc>
        <w:tc>
          <w:tcPr>
            <w:tcW w:type="dxa" w:w="4536"/>
            <w:vAlign w:val="top"/>
          </w:tcPr>
          <w:p>
            <w:pPr>
              <w:spacing w:after="0" w:line="240" w:lineRule="auto"/>
            </w:pPr>
            <w:r>
              <w:rPr>
                <w:rFonts w:ascii="Times New Roman" w:hAnsi="Times New Roman"/>
                <w:sz w:val="16"/>
              </w:rPr>
              <w:t>Clarifies the contempt shown toward Sarai.</w:t>
            </w:r>
          </w:p>
        </w:tc>
      </w:tr>
      <w:tr>
        <w:tc>
          <w:tcPr>
            <w:tcW w:type="dxa" w:w="1800"/>
            <w:vAlign w:val="top"/>
          </w:tcPr>
          <w:p>
            <w:pPr>
              <w:spacing w:after="0" w:line="240" w:lineRule="auto"/>
            </w:pPr>
            <w:r>
              <w:rPr>
                <w:rFonts w:ascii="Times New Roman" w:hAnsi="Times New Roman"/>
                <w:sz w:val="16"/>
              </w:rPr>
              <w:t>Gen. 16:7</w:t>
            </w:r>
          </w:p>
        </w:tc>
        <w:tc>
          <w:tcPr>
            <w:tcW w:type="dxa" w:w="3672"/>
            <w:vAlign w:val="top"/>
          </w:tcPr>
          <w:p>
            <w:pPr>
              <w:spacing w:after="0" w:line="240" w:lineRule="auto"/>
            </w:pPr>
            <w:r>
              <w:rPr>
                <w:rFonts w:ascii="Times New Roman" w:hAnsi="Times New Roman"/>
                <w:sz w:val="16"/>
              </w:rPr>
              <w:t>malak = messenger; Heb. 1:14; 1 Sam. 15:7</w:t>
            </w:r>
          </w:p>
        </w:tc>
        <w:tc>
          <w:tcPr>
            <w:tcW w:type="dxa" w:w="4536"/>
            <w:vAlign w:val="top"/>
          </w:tcPr>
          <w:p>
            <w:pPr>
              <w:spacing w:after="0" w:line="240" w:lineRule="auto"/>
            </w:pPr>
            <w:r>
              <w:rPr>
                <w:rFonts w:ascii="Times New Roman" w:hAnsi="Times New Roman"/>
                <w:sz w:val="16"/>
              </w:rPr>
              <w:t>Checks first “angel of Yahweh” note and Shur location.</w:t>
            </w:r>
          </w:p>
        </w:tc>
      </w:tr>
      <w:tr>
        <w:tc>
          <w:tcPr>
            <w:tcW w:type="dxa" w:w="1800"/>
            <w:vAlign w:val="top"/>
          </w:tcPr>
          <w:p>
            <w:pPr>
              <w:spacing w:after="0" w:line="240" w:lineRule="auto"/>
            </w:pPr>
            <w:r>
              <w:rPr>
                <w:rFonts w:ascii="Times New Roman" w:hAnsi="Times New Roman"/>
                <w:sz w:val="16"/>
              </w:rPr>
              <w:t>Gen. 16:11</w:t>
            </w:r>
          </w:p>
        </w:tc>
        <w:tc>
          <w:tcPr>
            <w:tcW w:type="dxa" w:w="3672"/>
            <w:vAlign w:val="top"/>
          </w:tcPr>
          <w:p>
            <w:pPr>
              <w:spacing w:after="0" w:line="240" w:lineRule="auto"/>
            </w:pPr>
            <w:r>
              <w:rPr>
                <w:rFonts w:ascii="Times New Roman" w:hAnsi="Times New Roman"/>
                <w:sz w:val="16"/>
              </w:rPr>
              <w:t>Ishmael = El hears / Whom El hears</w:t>
            </w:r>
          </w:p>
        </w:tc>
        <w:tc>
          <w:tcPr>
            <w:tcW w:type="dxa" w:w="4536"/>
            <w:vAlign w:val="top"/>
          </w:tcPr>
          <w:p>
            <w:pPr>
              <w:spacing w:after="0" w:line="240" w:lineRule="auto"/>
            </w:pPr>
            <w:r>
              <w:rPr>
                <w:rFonts w:ascii="Times New Roman" w:hAnsi="Times New Roman"/>
                <w:sz w:val="16"/>
              </w:rPr>
              <w:t>The verse itself explains the naming from Yahweh hearing affliction.</w:t>
            </w:r>
          </w:p>
        </w:tc>
      </w:tr>
      <w:tr>
        <w:tc>
          <w:tcPr>
            <w:tcW w:type="dxa" w:w="1800"/>
            <w:vAlign w:val="top"/>
          </w:tcPr>
          <w:p>
            <w:pPr>
              <w:spacing w:after="0" w:line="240" w:lineRule="auto"/>
            </w:pPr>
            <w:r>
              <w:rPr>
                <w:rFonts w:ascii="Times New Roman" w:hAnsi="Times New Roman"/>
                <w:sz w:val="16"/>
              </w:rPr>
              <w:t>Gen. 16:12</w:t>
            </w:r>
          </w:p>
        </w:tc>
        <w:tc>
          <w:tcPr>
            <w:tcW w:type="dxa" w:w="3672"/>
            <w:vAlign w:val="top"/>
          </w:tcPr>
          <w:p>
            <w:pPr>
              <w:spacing w:after="0" w:line="240" w:lineRule="auto"/>
            </w:pPr>
            <w:r>
              <w:rPr>
                <w:rFonts w:ascii="Times New Roman" w:hAnsi="Times New Roman"/>
                <w:sz w:val="16"/>
              </w:rPr>
              <w:t>pereh adam = wild-ass man; Job 39:5–8</w:t>
            </w:r>
          </w:p>
        </w:tc>
        <w:tc>
          <w:tcPr>
            <w:tcW w:type="dxa" w:w="4536"/>
            <w:vAlign w:val="top"/>
          </w:tcPr>
          <w:p>
            <w:pPr>
              <w:spacing w:after="0" w:line="240" w:lineRule="auto"/>
            </w:pPr>
            <w:r>
              <w:rPr>
                <w:rFonts w:ascii="Times New Roman" w:hAnsi="Times New Roman"/>
                <w:sz w:val="16"/>
              </w:rPr>
              <w:t>Recovers the Hebrew expression and Mansfield’s biblical comparison.</w:t>
            </w:r>
          </w:p>
        </w:tc>
      </w:tr>
      <w:tr>
        <w:tc>
          <w:tcPr>
            <w:tcW w:type="dxa" w:w="1800"/>
            <w:vAlign w:val="top"/>
          </w:tcPr>
          <w:p>
            <w:pPr>
              <w:spacing w:after="0" w:line="240" w:lineRule="auto"/>
            </w:pPr>
            <w:r>
              <w:rPr>
                <w:rFonts w:ascii="Times New Roman" w:hAnsi="Times New Roman"/>
                <w:sz w:val="16"/>
              </w:rPr>
              <w:t>Gen. 16:13</w:t>
            </w:r>
          </w:p>
        </w:tc>
        <w:tc>
          <w:tcPr>
            <w:tcW w:type="dxa" w:w="3672"/>
            <w:vAlign w:val="top"/>
          </w:tcPr>
          <w:p>
            <w:pPr>
              <w:spacing w:after="0" w:line="240" w:lineRule="auto"/>
            </w:pPr>
            <w:r>
              <w:rPr>
                <w:rFonts w:ascii="Times New Roman" w:hAnsi="Times New Roman"/>
                <w:sz w:val="16"/>
              </w:rPr>
              <w:t>El-Roi = El of Seeing; ra’ah = see</w:t>
            </w:r>
          </w:p>
        </w:tc>
        <w:tc>
          <w:tcPr>
            <w:tcW w:type="dxa" w:w="4536"/>
            <w:vAlign w:val="top"/>
          </w:tcPr>
          <w:p>
            <w:pPr>
              <w:spacing w:after="0" w:line="240" w:lineRule="auto"/>
            </w:pPr>
            <w:r>
              <w:rPr>
                <w:rFonts w:ascii="Times New Roman" w:hAnsi="Times New Roman"/>
                <w:sz w:val="16"/>
              </w:rPr>
              <w:t>Resolves the previously uncertain Divine title.</w:t>
            </w:r>
          </w:p>
        </w:tc>
      </w:tr>
      <w:tr>
        <w:tc>
          <w:tcPr>
            <w:tcW w:type="dxa" w:w="1800"/>
            <w:vAlign w:val="top"/>
          </w:tcPr>
          <w:p>
            <w:pPr>
              <w:spacing w:after="0" w:line="240" w:lineRule="auto"/>
            </w:pPr>
            <w:r>
              <w:rPr>
                <w:rFonts w:ascii="Times New Roman" w:hAnsi="Times New Roman"/>
                <w:sz w:val="16"/>
              </w:rPr>
              <w:t>Gen. 16:13</w:t>
            </w:r>
          </w:p>
        </w:tc>
        <w:tc>
          <w:tcPr>
            <w:tcW w:type="dxa" w:w="3672"/>
            <w:vAlign w:val="top"/>
          </w:tcPr>
          <w:p>
            <w:pPr>
              <w:spacing w:after="0" w:line="240" w:lineRule="auto"/>
            </w:pPr>
            <w:r>
              <w:rPr>
                <w:rFonts w:ascii="Times New Roman" w:hAnsi="Times New Roman"/>
                <w:sz w:val="16"/>
              </w:rPr>
              <w:t>’ahar / “latter purposes” rendering</w:t>
            </w:r>
          </w:p>
        </w:tc>
        <w:tc>
          <w:tcPr>
            <w:tcW w:type="dxa" w:w="4536"/>
            <w:vAlign w:val="top"/>
          </w:tcPr>
          <w:p>
            <w:pPr>
              <w:spacing w:after="0" w:line="240" w:lineRule="auto"/>
            </w:pPr>
            <w:r>
              <w:rPr>
                <w:rFonts w:ascii="Times New Roman" w:hAnsi="Times New Roman"/>
                <w:sz w:val="16"/>
              </w:rPr>
              <w:t>Retained only as Mansfield’s interpretive proposal, not a correction to the KJV.</w:t>
            </w:r>
          </w:p>
        </w:tc>
      </w:tr>
      <w:tr>
        <w:tc>
          <w:tcPr>
            <w:tcW w:type="dxa" w:w="1800"/>
            <w:vAlign w:val="top"/>
          </w:tcPr>
          <w:p>
            <w:pPr>
              <w:spacing w:after="0" w:line="240" w:lineRule="auto"/>
            </w:pPr>
            <w:r>
              <w:rPr>
                <w:rFonts w:ascii="Times New Roman" w:hAnsi="Times New Roman"/>
                <w:sz w:val="16"/>
              </w:rPr>
              <w:t>Gen. 16:14</w:t>
            </w:r>
          </w:p>
        </w:tc>
        <w:tc>
          <w:tcPr>
            <w:tcW w:type="dxa" w:w="3672"/>
            <w:vAlign w:val="top"/>
          </w:tcPr>
          <w:p>
            <w:pPr>
              <w:spacing w:after="0" w:line="240" w:lineRule="auto"/>
            </w:pPr>
            <w:r>
              <w:rPr>
                <w:rFonts w:ascii="Times New Roman" w:hAnsi="Times New Roman"/>
                <w:sz w:val="16"/>
              </w:rPr>
              <w:t>Beer-lahai-roi = well of the Living One who sees me / my Seer</w:t>
            </w:r>
          </w:p>
        </w:tc>
        <w:tc>
          <w:tcPr>
            <w:tcW w:type="dxa" w:w="4536"/>
            <w:vAlign w:val="top"/>
          </w:tcPr>
          <w:p>
            <w:pPr>
              <w:spacing w:after="0" w:line="240" w:lineRule="auto"/>
            </w:pPr>
            <w:r>
              <w:rPr>
                <w:rFonts w:ascii="Times New Roman" w:hAnsi="Times New Roman"/>
                <w:sz w:val="16"/>
              </w:rPr>
              <w:t>Resolves the obscured well-name explanation.</w:t>
            </w:r>
          </w:p>
        </w:tc>
      </w:tr>
      <w:tr>
        <w:tc>
          <w:tcPr>
            <w:tcW w:type="dxa" w:w="1800"/>
            <w:vAlign w:val="top"/>
          </w:tcPr>
          <w:p>
            <w:pPr>
              <w:spacing w:after="0" w:line="240" w:lineRule="auto"/>
            </w:pPr>
            <w:r>
              <w:rPr>
                <w:rFonts w:ascii="Times New Roman" w:hAnsi="Times New Roman"/>
                <w:sz w:val="16"/>
              </w:rPr>
              <w:t>Gen. 16:16</w:t>
            </w:r>
          </w:p>
        </w:tc>
        <w:tc>
          <w:tcPr>
            <w:tcW w:type="dxa" w:w="3672"/>
            <w:vAlign w:val="top"/>
          </w:tcPr>
          <w:p>
            <w:pPr>
              <w:spacing w:after="0" w:line="240" w:lineRule="auto"/>
            </w:pPr>
            <w:r>
              <w:rPr>
                <w:rFonts w:ascii="Times New Roman" w:hAnsi="Times New Roman"/>
                <w:sz w:val="16"/>
              </w:rPr>
              <w:t>86 at Ishmael; 100 at Isaac (Gen. 21:5)</w:t>
            </w:r>
          </w:p>
        </w:tc>
        <w:tc>
          <w:tcPr>
            <w:tcW w:type="dxa" w:w="4536"/>
            <w:vAlign w:val="top"/>
          </w:tcPr>
          <w:p>
            <w:pPr>
              <w:spacing w:after="0" w:line="240" w:lineRule="auto"/>
            </w:pPr>
            <w:r>
              <w:rPr>
                <w:rFonts w:ascii="Times New Roman" w:hAnsi="Times New Roman"/>
                <w:sz w:val="16"/>
              </w:rPr>
              <w:t>Checks the chronological contrast.</w:t>
            </w:r>
          </w:p>
        </w:tc>
      </w:tr>
    </w:tbl>
    <w:p>
      <w:pPr>
        <w:pStyle w:val="Heading1"/>
      </w:pPr>
      <w:r>
        <w:t>RESIDUAL UNCERTAINTIES</w:t>
      </w:r>
    </w:p>
    <w:p>
      <w:pPr>
        <w:ind w:left="230" w:hanging="173"/>
      </w:pPr>
      <w:r>
        <w:t>•  Several small ethnographical applications concerning later descendants of Ishmael remain too compressed in the photographed margin to transcribe safely; no modern ethnic identification has been reconstructed from guesswork.</w:t>
      </w:r>
    </w:p>
    <w:p>
      <w:pPr>
        <w:ind w:left="230" w:hanging="173"/>
      </w:pPr>
      <w:r>
        <w:t>•  The unusual interpretation of Genesis 16:13 involving “latter purposes/designs” is identifiable in Mansfield’s published work but remains an interpretation of a famously difficult Hebrew clause; it is not presented as the only translation.</w:t>
      </w:r>
    </w:p>
    <w:p>
      <w:pPr>
        <w:ind w:left="230" w:hanging="173"/>
      </w:pPr>
      <w:r>
        <w:t>•  Some minor cross-references attached to the Hagar/Israel allegory are too small in the HPB page to recover independently, so only references verified in Mansfield’s published exposition are included.</w:t>
      </w:r>
    </w:p>
    <w:sectPr w:rsidR="00FC693F" w:rsidRPr="0006063C" w:rsidSect="00034616">
      <w:headerReference w:type="default" r:id="rId9"/>
      <w:footerReference w:type="default" r:id="rId10"/>
      <w:pgSz w:w="12240" w:h="15840"/>
      <w:pgMar w:top="835" w:right="893" w:bottom="83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7"/>
      </w:rPr>
      <w:t>H. P. MANSFIELD BIBLE NOTES  •  GENESIS 16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2F67A7"/>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F67A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