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4267"/>
          <w:sz w:val="44"/>
        </w:rPr>
        <w:t>GENESIS 17</w:t>
      </w:r>
    </w:p>
    <w:p>
      <w:pPr>
        <w:pBdr>
          <w:bottom w:val="single" w:sz="10" w:color="4A86D4"/>
        </w:pBdr>
        <w:spacing w:after="160"/>
      </w:pPr>
    </w:p>
    <w:p>
      <w:pPr>
        <w:jc w:val="center"/>
      </w:pPr>
      <w:r>
        <w:rPr>
          <w:rFonts w:ascii="Arial" w:hAnsi="Arial"/>
          <w:b/>
          <w:i/>
          <w:color w:val="4A86D4"/>
          <w:sz w:val="22"/>
        </w:rPr>
        <w:t>EL SHADDAI • ABRAHAM AND SARAH • CIRCUMCISION • ISAAC THE COVENANT SEED</w:t>
      </w:r>
    </w:p>
    <w:p>
      <w:pPr>
        <w:jc w:val="center"/>
      </w:pPr>
      <w:r>
        <w:rPr>
          <w:i/>
          <w:sz w:val="19"/>
        </w:rPr>
        <w:t>H. P. Mansfield Bible notes — checked and arranged in verse-by-verse Expositor style</w:t>
      </w:r>
    </w:p>
    <w:p>
      <w:pPr>
        <w:spacing w:after="160"/>
        <w:jc w:val="center"/>
      </w:pPr>
      <w:r>
        <w:rPr>
          <w:sz w:val="17"/>
        </w:rPr>
        <w:t>Source: HPB 01-Gen01-Gen41.PDF, Genesis 17 photographed pages 61–62</w:t>
      </w:r>
    </w:p>
    <w:p>
      <w:pPr>
        <w:pStyle w:val="Heading1"/>
      </w:pPr>
      <w:r>
        <w:t>CHAPTER OVERVIEW</w:t>
      </w:r>
    </w:p>
    <w:p>
      <w:r>
        <w:t>Genesis 17 develops and confirms the covenant already given to Abram. After thirteen years following Ishmael’s birth, God appears when Abram is ninety-nine, reveals Himself as El Shaddai, changes Abram’s and Sarai’s names, appoints circumcision as the covenant token, and explicitly identifies Isaac as the covenant seed.</w:t>
      </w:r>
    </w:p>
    <w:p>
      <w:r>
        <w:t>Mansfield’s large marginal theme is that flesh is the handmaid, not the master, of the Abrahamic covenant. Circumcision therefore becomes a sign that confidence in flesh must be cut off, while the birth of Isaac will demonstrate that the promise depends upon Divine power and faith.</w:t>
      </w:r>
    </w:p>
    <w:p>
      <w:pPr>
        <w:pStyle w:val="Heading1"/>
      </w:pPr>
      <w:r>
        <w:t>ABRAM BECOMES ABRAHAM — GENESIS 17:1–8</w:t>
      </w:r>
    </w:p>
    <w:p>
      <w:pPr>
        <w:keepNext/>
        <w:spacing w:before="80" w:after="20"/>
      </w:pPr>
      <w:r>
        <w:rPr>
          <w:rFonts w:ascii="Arial" w:hAnsi="Arial"/>
          <w:b/>
          <w:color w:val="2F67A7"/>
          <w:sz w:val="22"/>
        </w:rPr>
        <w:t>Genesis 17:1 — “I am the Almighty God; walk before me, and be thou perfect”</w:t>
      </w:r>
    </w:p>
    <w:p>
      <w:pPr>
        <w:spacing w:after="60" w:line="240" w:lineRule="auto"/>
      </w:pPr>
      <w:r>
        <w:t>Abram is ninety-nine. The Divine title is El Shaddai. Mansfield discusses more than one proposed derivation and uses the title to emphasise Divine power both to nourish/protect and to judge. Because the etymology of Shaddai is debated, the finished note preserves El Shaddai as the secure Hebrew title and identifies Mansfield’s extended “Destroyer/Nourisher” treatment as exposition rather than a settled lexical definition.</w:t>
      </w:r>
    </w:p>
    <w:p>
      <w:pPr>
        <w:spacing w:after="60" w:line="240" w:lineRule="auto"/>
      </w:pPr>
      <w:r>
        <w:t>The previously uncertain “perfect” note is recoverable. Hebrew tamim means complete, whole, upright or sincere in this context, not sinlessly flawless. Mansfield compares Genesis 6:9; 20:5; Job 1:1 and the idea of spiritual maturity. “Walk before me” is conduct lived consciously in God’s presence (compare Micah 6:8 margin/application).</w:t>
      </w:r>
    </w:p>
    <w:p>
      <w:pPr>
        <w:keepNext/>
        <w:spacing w:before="80" w:after="20"/>
      </w:pPr>
      <w:r>
        <w:rPr>
          <w:rFonts w:ascii="Arial" w:hAnsi="Arial"/>
          <w:b/>
          <w:color w:val="2F67A7"/>
          <w:sz w:val="22"/>
        </w:rPr>
        <w:t>Genesis 17:2–3 — covenant established; Abram falls on his face</w:t>
      </w:r>
    </w:p>
    <w:p>
      <w:pPr>
        <w:spacing w:after="60" w:line="240" w:lineRule="auto"/>
      </w:pPr>
      <w:r>
        <w:t>The covenant is not first created here. Mansfield notes that the verb in verse 2 has the sense of giving/appointing/establishing what has already been promised; Genesis 15 has already recorded its solemn confirmation. Abram’s prostration expresses reverence and humility before Divine manifestation.</w:t>
      </w:r>
    </w:p>
    <w:p>
      <w:pPr>
        <w:keepNext/>
        <w:spacing w:before="80" w:after="20"/>
      </w:pPr>
      <w:r>
        <w:rPr>
          <w:rFonts w:ascii="Arial" w:hAnsi="Arial"/>
          <w:b/>
          <w:color w:val="2F67A7"/>
          <w:sz w:val="22"/>
        </w:rPr>
        <w:t>Genesis 17:4–5 — “a father of many nations… Abraham”</w:t>
      </w:r>
    </w:p>
    <w:p>
      <w:pPr>
        <w:spacing w:after="60" w:line="240" w:lineRule="auto"/>
      </w:pPr>
      <w:r>
        <w:t>The change from Abram to Abraham visibly marks changed covenant status. Abram is “exalted/lofty father”; Abraham is explained by the text itself as “father of many nations,” commonly paraphrased “father of a multitude.” Romans 4:16–17 applies the promise beyond natural descent to the community of faith.</w:t>
      </w:r>
    </w:p>
    <w:p>
      <w:pPr>
        <w:spacing w:after="60" w:line="240" w:lineRule="auto"/>
      </w:pPr>
      <w:r>
        <w:t>Mansfield notes the added Hebrew letter he and develops numerical symbolism around it. That symbolism is retained as his homiletic observation, not as the reason supplied by Genesis for the name change.</w:t>
      </w:r>
    </w:p>
    <w:p>
      <w:pPr>
        <w:keepNext/>
        <w:spacing w:before="80" w:after="20"/>
      </w:pPr>
      <w:r>
        <w:rPr>
          <w:rFonts w:ascii="Arial" w:hAnsi="Arial"/>
          <w:b/>
          <w:color w:val="2F67A7"/>
          <w:sz w:val="22"/>
        </w:rPr>
        <w:t>Genesis 17:6 — “exceeding fruitful… nations… kings”</w:t>
      </w:r>
    </w:p>
    <w:p>
      <w:pPr>
        <w:spacing w:after="60" w:line="240" w:lineRule="auto"/>
      </w:pPr>
      <w:r>
        <w:t>The promise expands from descendants to nations and kings. Mansfield links the spiritual seed with Galatians 3:29 and the future kingly company with Revelation 5:9–10, while the immediate wording also anticipates literal royal lines arising from Abraham.</w:t>
      </w:r>
    </w:p>
    <w:p>
      <w:pPr>
        <w:keepNext/>
        <w:spacing w:before="80" w:after="20"/>
      </w:pPr>
      <w:r>
        <w:rPr>
          <w:rFonts w:ascii="Arial" w:hAnsi="Arial"/>
          <w:b/>
          <w:color w:val="2F67A7"/>
          <w:sz w:val="22"/>
        </w:rPr>
        <w:t>Genesis 17:7 — “an everlasting covenant… to be a God unto thee”</w:t>
      </w:r>
    </w:p>
    <w:p>
      <w:pPr>
        <w:spacing w:after="60" w:line="240" w:lineRule="auto"/>
      </w:pPr>
      <w:r>
        <w:t>The covenant extends to Abraham’s seed “in their generations.” Mansfield recovers a distinction in the word for generations and stresses continuity through successive ages. The central promise is relational: God will be God to Abraham and his seed. References such as Exodus 3:15; Psalm 105:8–9 and Luke 1:72 keep the covenant memorial alive through Scripture.</w:t>
      </w:r>
    </w:p>
    <w:p>
      <w:pPr>
        <w:keepNext/>
        <w:spacing w:before="80" w:after="20"/>
      </w:pPr>
      <w:r>
        <w:rPr>
          <w:rFonts w:ascii="Arial" w:hAnsi="Arial"/>
          <w:b/>
          <w:color w:val="2F67A7"/>
          <w:sz w:val="22"/>
        </w:rPr>
        <w:t>Genesis 17:8 — “all the land of Canaan… an everlasting possession”</w:t>
      </w:r>
    </w:p>
    <w:p>
      <w:pPr>
        <w:spacing w:after="60" w:line="240" w:lineRule="auto"/>
      </w:pPr>
      <w:r>
        <w:t>Abraham is still a stranger in the land he is promised. Mansfield deliberately places “stranger” beside “everlasting possession”: present pilgrimage and future inheritance stand together. Acts 7:5 and Hebrews 11:8–16 explain why possession must reach beyond Abraham’s mortal lifetime.</w:t>
      </w:r>
    </w:p>
    <w:p>
      <w:pPr>
        <w:pStyle w:val="Heading1"/>
      </w:pPr>
      <w:r>
        <w:t>CIRCUMCISION — GENESIS 17:9–14</w:t>
      </w:r>
    </w:p>
    <w:p>
      <w:pPr>
        <w:keepNext/>
        <w:spacing w:before="80" w:after="20"/>
      </w:pPr>
      <w:r>
        <w:rPr>
          <w:rFonts w:ascii="Arial" w:hAnsi="Arial"/>
          <w:b/>
          <w:color w:val="2F67A7"/>
          <w:sz w:val="22"/>
        </w:rPr>
        <w:t>Genesis 17:9–10 — “Every man child among you shall be circumcised”</w:t>
      </w:r>
    </w:p>
    <w:p>
      <w:pPr>
        <w:spacing w:after="60" w:line="240" w:lineRule="auto"/>
      </w:pPr>
      <w:r>
        <w:t>Circumcision is the outward covenant sign, but Mansfield explicitly warns that keeping the covenant means more than the physical rite. Deuteronomy 10:16; 30:6 and Romans 2:25–29 establish the biblical development toward circumcision of the heart.</w:t>
      </w:r>
    </w:p>
    <w:p>
      <w:pPr>
        <w:spacing w:after="60" w:line="240" w:lineRule="auto"/>
      </w:pPr>
      <w:r>
        <w:t>Acts 7:8 calls this “the covenant of circumcision.” John 7:22 notes that circumcision is from the fathers, not first from Moses. Mansfield uses this to show that the sign belongs to the Abrahamic covenant before Sinai.</w:t>
      </w:r>
    </w:p>
    <w:p>
      <w:pPr>
        <w:keepNext/>
        <w:spacing w:before="80" w:after="20"/>
      </w:pPr>
      <w:r>
        <w:rPr>
          <w:rFonts w:ascii="Arial" w:hAnsi="Arial"/>
          <w:b/>
          <w:color w:val="2F67A7"/>
          <w:sz w:val="22"/>
        </w:rPr>
        <w:t>Genesis 17:11 — “a token of the covenant”</w:t>
      </w:r>
    </w:p>
    <w:p>
      <w:pPr>
        <w:spacing w:after="60" w:line="240" w:lineRule="auto"/>
      </w:pPr>
      <w:r>
        <w:t>The recovered Hebrew note is orlah, foreskin, with Mansfield associating the cutting of flesh with repudiation of fleshly confidence. Romans 4:11 calls circumcision a sign and seal of the righteousness of faith Abraham already possessed while uncircumcised.</w:t>
      </w:r>
    </w:p>
    <w:p>
      <w:pPr>
        <w:spacing w:after="60" w:line="240" w:lineRule="auto"/>
      </w:pPr>
      <w:r>
        <w:t>The New Testament spiritual application is secure: Philippians 3:3 and Colossians 2:11–12 speak of a circumcision not resting in the flesh and of the putting off of the body of flesh in relation to Christ and baptism.</w:t>
      </w:r>
    </w:p>
    <w:p>
      <w:pPr>
        <w:keepNext/>
        <w:spacing w:before="80" w:after="20"/>
      </w:pPr>
      <w:r>
        <w:rPr>
          <w:rFonts w:ascii="Arial" w:hAnsi="Arial"/>
          <w:b/>
          <w:color w:val="2F67A7"/>
          <w:sz w:val="22"/>
        </w:rPr>
        <w:t>Genesis 17:12–13 — eighth day; house-born and purchased</w:t>
      </w:r>
    </w:p>
    <w:p>
      <w:pPr>
        <w:spacing w:after="60" w:line="240" w:lineRule="auto"/>
      </w:pPr>
      <w:r>
        <w:t>The command includes every male in the household, whether naturally born there or acquired from outside. Mansfield stresses that covenant association is not restricted to Abraham’s biological line. The eighth-day symbolism in his exposition points beyond ordinary fleshly life; it is retained as typology, not as the lexical meaning of “eighth.”</w:t>
      </w:r>
    </w:p>
    <w:p>
      <w:pPr>
        <w:spacing w:after="60" w:line="240" w:lineRule="auto"/>
      </w:pPr>
      <w:r>
        <w:t>Verse 13 says the covenant is “in your flesh for an everlasting covenant.” Mansfield carefully distinguishes the mortal sign in flesh from the everlasting covenant to which it points.</w:t>
      </w:r>
    </w:p>
    <w:p>
      <w:pPr>
        <w:keepNext/>
        <w:spacing w:before="80" w:after="20"/>
      </w:pPr>
      <w:r>
        <w:rPr>
          <w:rFonts w:ascii="Arial" w:hAnsi="Arial"/>
          <w:b/>
          <w:color w:val="2F67A7"/>
          <w:sz w:val="22"/>
        </w:rPr>
        <w:t>Genesis 17:14 — “that soul shall be cut off”</w:t>
      </w:r>
    </w:p>
    <w:p>
      <w:pPr>
        <w:spacing w:after="60" w:line="240" w:lineRule="auto"/>
      </w:pPr>
      <w:r>
        <w:t>The text makes deliberate use of cutting language: refusal of the covenant sign results in being “cut off” from the covenant people. Exodus 12:48 later makes circumcision a condition of Passover participation.</w:t>
      </w:r>
    </w:p>
    <w:p>
      <w:pPr>
        <w:spacing w:after="60" w:line="240" w:lineRule="auto"/>
      </w:pPr>
      <w:r>
        <w:t>Mansfield’s major lesson is spiritual rather than anatomical: fleshly descent by itself confers no saving privilege. Romans 2:29 and Colossians 2:11–12 provide the apostolic development—true covenant identity requires the cutting off of fleshly confidence and a changed heart/life.</w:t>
      </w:r>
    </w:p>
    <w:p>
      <w:pPr>
        <w:pStyle w:val="Heading1"/>
      </w:pPr>
      <w:r>
        <w:t>SARAH AND ISAAC — GENESIS 17:15–22</w:t>
      </w:r>
    </w:p>
    <w:p>
      <w:pPr>
        <w:keepNext/>
        <w:spacing w:before="80" w:after="20"/>
      </w:pPr>
      <w:r>
        <w:rPr>
          <w:rFonts w:ascii="Arial" w:hAnsi="Arial"/>
          <w:b/>
          <w:color w:val="2F67A7"/>
          <w:sz w:val="22"/>
        </w:rPr>
        <w:t>Genesis 17:15–16 — Sarai becomes Sarah</w:t>
      </w:r>
    </w:p>
    <w:p>
      <w:pPr>
        <w:spacing w:after="60" w:line="240" w:lineRule="auto"/>
      </w:pPr>
      <w:r>
        <w:t>Published Mansfield resolves the name distinction as Sarai, “my princess,” and Sarah, “princess.” His point is that her place in the promise is broadened: she is explicitly blessed, will bear the promised son, and becomes mother of nations and kings. Hebrews 11:11 checks the emphasis on faith in conception.</w:t>
      </w:r>
    </w:p>
    <w:p>
      <w:pPr>
        <w:keepNext/>
        <w:spacing w:before="80" w:after="20"/>
      </w:pPr>
      <w:r>
        <w:rPr>
          <w:rFonts w:ascii="Arial" w:hAnsi="Arial"/>
          <w:b/>
          <w:color w:val="2F67A7"/>
          <w:sz w:val="22"/>
        </w:rPr>
        <w:t>Genesis 17:17 — “Abraham… laughed”</w:t>
      </w:r>
    </w:p>
    <w:p>
      <w:pPr>
        <w:spacing w:after="60" w:line="240" w:lineRule="auto"/>
      </w:pPr>
      <w:r>
        <w:t>The previously uncertain nuance is explicit in Mansfield’s published exposition: he takes Abraham’s laughter as joyful astonishment, not unbelief. Romans 4:18–22 supports that reading by describing Abraham as not wavering through unbelief but being fully persuaded that God could perform the promise. John 8:56 is used typologically for Abraham rejoicing to see Christ’s day.</w:t>
      </w:r>
    </w:p>
    <w:p>
      <w:pPr>
        <w:spacing w:after="60" w:line="240" w:lineRule="auto"/>
      </w:pPr>
      <w:r>
        <w:t>His questions about a hundred-year-old father and ninety-year-old mother are therefore treated as amazement at Divine power rather than rejection of the promise.</w:t>
      </w:r>
    </w:p>
    <w:p>
      <w:pPr>
        <w:keepNext/>
        <w:spacing w:before="80" w:after="20"/>
      </w:pPr>
      <w:r>
        <w:rPr>
          <w:rFonts w:ascii="Arial" w:hAnsi="Arial"/>
          <w:b/>
          <w:color w:val="2F67A7"/>
          <w:sz w:val="22"/>
        </w:rPr>
        <w:t>Genesis 17:18 — “O that Ishmael might live before thee!”</w:t>
      </w:r>
    </w:p>
    <w:p>
      <w:pPr>
        <w:spacing w:after="60" w:line="240" w:lineRule="auto"/>
      </w:pPr>
      <w:r>
        <w:t>Abraham’s concern for Ishmael remains genuine even while the covenant line is narrowed. Mansfield interprets the prayer as asking for Ishmael’s continuing Divine favour, not as preferring Ishmael to the promised Isaac.</w:t>
      </w:r>
    </w:p>
    <w:p>
      <w:pPr>
        <w:keepNext/>
        <w:spacing w:before="80" w:after="20"/>
      </w:pPr>
      <w:r>
        <w:rPr>
          <w:rFonts w:ascii="Arial" w:hAnsi="Arial"/>
          <w:b/>
          <w:color w:val="2F67A7"/>
          <w:sz w:val="22"/>
        </w:rPr>
        <w:t>Genesis 17:19 — “Sarah… shall bear thee a son… Isaac”</w:t>
      </w:r>
    </w:p>
    <w:p>
      <w:pPr>
        <w:spacing w:after="60" w:line="240" w:lineRule="auto"/>
      </w:pPr>
      <w:r>
        <w:t>God supplies the name Isaac—“laughter”—and states that the everlasting covenant will be established with him and his seed. Galatians 4:28 later calls believers “children of promise” after the pattern of Isaac; Romans 15:8 links Christ with confirmation of the promises to the fathers.</w:t>
      </w:r>
    </w:p>
    <w:p>
      <w:pPr>
        <w:keepNext/>
        <w:spacing w:before="80" w:after="20"/>
      </w:pPr>
      <w:r>
        <w:rPr>
          <w:rFonts w:ascii="Arial" w:hAnsi="Arial"/>
          <w:b/>
          <w:color w:val="2F67A7"/>
          <w:sz w:val="22"/>
        </w:rPr>
        <w:t>Genesis 17:20 — Ishmael heard and blessed</w:t>
      </w:r>
    </w:p>
    <w:p>
      <w:pPr>
        <w:spacing w:after="60" w:line="240" w:lineRule="auto"/>
      </w:pPr>
      <w:r>
        <w:t>The verb shama, “hear,” forms the natural wordplay with Ishmael’s name. Ishmael is promised fruitfulness, twelve princes and a great nation. Genesis 25:12–16 records the twelve sons/princes.</w:t>
      </w:r>
    </w:p>
    <w:p>
      <w:pPr>
        <w:spacing w:after="60" w:line="240" w:lineRule="auto"/>
      </w:pPr>
      <w:r>
        <w:t>The chapter itself makes the necessary distinction: blessing is real, but blessing is not identical with covenant inheritance. Mansfield’s wider applications to Arab peoples and to Paul’s allegory are retained as exposition, not allowed to obscure that textual distinction.</w:t>
      </w:r>
    </w:p>
    <w:p>
      <w:pPr>
        <w:keepNext/>
        <w:spacing w:before="80" w:after="20"/>
      </w:pPr>
      <w:r>
        <w:rPr>
          <w:rFonts w:ascii="Arial" w:hAnsi="Arial"/>
          <w:b/>
          <w:color w:val="2F67A7"/>
          <w:sz w:val="22"/>
        </w:rPr>
        <w:t>Genesis 17:21–22 — “My covenant will I establish with Isaac”</w:t>
      </w:r>
    </w:p>
    <w:p>
      <w:pPr>
        <w:spacing w:after="60" w:line="240" w:lineRule="auto"/>
      </w:pPr>
      <w:r>
        <w:t>This is the decisive sentence of the chapter. The covenant line is expressly Isaac’s, and the birth is fixed for the next year. The Divine conversation then ends and the messenger ascends from Abraham.</w:t>
      </w:r>
    </w:p>
    <w:p>
      <w:pPr>
        <w:pStyle w:val="Heading1"/>
      </w:pPr>
      <w:r>
        <w:t>IMMEDIATE OBEDIENCE — GENESIS 17:23–27</w:t>
      </w:r>
    </w:p>
    <w:p>
      <w:pPr>
        <w:keepNext/>
        <w:spacing w:before="80" w:after="20"/>
      </w:pPr>
      <w:r>
        <w:rPr>
          <w:rFonts w:ascii="Arial" w:hAnsi="Arial"/>
          <w:b/>
          <w:color w:val="2F67A7"/>
          <w:sz w:val="22"/>
        </w:rPr>
        <w:t>Genesis 17:23–27 — “in the selfsame day”</w:t>
      </w:r>
    </w:p>
    <w:p>
      <w:pPr>
        <w:spacing w:after="60" w:line="240" w:lineRule="auto"/>
      </w:pPr>
      <w:r>
        <w:t>Abraham circumcises Ishmael and every male of his household on the very day of the command. Published Mansfield notes enoshim, mortal/weak men, in verse 23 and stresses the household’s temporary physical vulnerability: obedience leaves them dependent upon Divine protection.</w:t>
      </w:r>
    </w:p>
    <w:p>
      <w:pPr>
        <w:spacing w:after="60" w:line="240" w:lineRule="auto"/>
      </w:pPr>
      <w:r>
        <w:t>Ishmael is thirteen. Mansfield associates thirteen symbolically with rebellion, but because Scripture does not state that numerical rule here, the finished note keeps it as his symbolic observation only. The central inspired emphasis is immediate and comprehensive obedience.</w:t>
      </w:r>
    </w:p>
    <w:p>
      <w:pPr>
        <w:pStyle w:val="Heading1"/>
      </w:pPr>
      <w:r>
        <w:t>PRINCIPAL THEMES</w:t>
      </w:r>
    </w:p>
    <w:p>
      <w:pPr>
        <w:spacing w:after="20"/>
      </w:pPr>
      <w:r>
        <w:rPr>
          <w:b/>
        </w:rPr>
        <w:t xml:space="preserve">Covenant development. </w:t>
      </w:r>
      <w:r>
        <w:t>Genesis 17 confirms and expands promises already given.</w:t>
      </w:r>
    </w:p>
    <w:p>
      <w:pPr>
        <w:spacing w:after="20"/>
      </w:pPr>
      <w:r>
        <w:rPr>
          <w:b/>
        </w:rPr>
        <w:t xml:space="preserve">El Shaddai and human weakness. </w:t>
      </w:r>
      <w:r>
        <w:t>The promised birth rests on Divine power, not Abraham’s natural strength.</w:t>
      </w:r>
    </w:p>
    <w:p>
      <w:pPr>
        <w:spacing w:after="20"/>
      </w:pPr>
      <w:r>
        <w:rPr>
          <w:b/>
        </w:rPr>
        <w:t xml:space="preserve">Changed names. </w:t>
      </w:r>
      <w:r>
        <w:t>Abraham and Sarah receive names fitted to their widened covenant roles.</w:t>
      </w:r>
    </w:p>
    <w:p>
      <w:pPr>
        <w:spacing w:after="20"/>
      </w:pPr>
      <w:r>
        <w:rPr>
          <w:b/>
        </w:rPr>
        <w:t xml:space="preserve">Circumcision cuts confidence in flesh. </w:t>
      </w:r>
      <w:r>
        <w:t>The outward token points toward inward covenant faithfulness.</w:t>
      </w:r>
    </w:p>
    <w:p>
      <w:pPr>
        <w:spacing w:after="20"/>
      </w:pPr>
      <w:r>
        <w:rPr>
          <w:b/>
        </w:rPr>
        <w:t xml:space="preserve">Sarah is explicitly included. </w:t>
      </w:r>
      <w:r>
        <w:t>The covenant son must be born through her.</w:t>
      </w:r>
    </w:p>
    <w:p>
      <w:pPr>
        <w:spacing w:after="20"/>
      </w:pPr>
      <w:r>
        <w:rPr>
          <w:b/>
        </w:rPr>
        <w:t xml:space="preserve">Ishmael is blessed. </w:t>
      </w:r>
      <w:r>
        <w:t>God hears Abraham for Ishmael, but does not transfer the covenant to him.</w:t>
      </w:r>
    </w:p>
    <w:p>
      <w:pPr>
        <w:spacing w:after="20"/>
      </w:pPr>
      <w:r>
        <w:rPr>
          <w:b/>
        </w:rPr>
        <w:t xml:space="preserve">Isaac is the covenant seed. </w:t>
      </w:r>
      <w:r>
        <w:t>Genesis 17:21 removes ambiguity.</w:t>
      </w:r>
    </w:p>
    <w:p>
      <w:pPr>
        <w:spacing w:after="20"/>
      </w:pPr>
      <w:r>
        <w:rPr>
          <w:b/>
        </w:rPr>
        <w:t xml:space="preserve">Obedience is immediate. </w:t>
      </w:r>
      <w:r>
        <w:t>Abraham acts “the selfsame day.”</w:t>
      </w:r>
    </w:p>
    <w:p>
      <w:pPr>
        <w:pStyle w:val="Heading1"/>
      </w:pPr>
      <w: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672"/>
        <w:gridCol w:w="4536"/>
      </w:tblGrid>
      <w:tr>
        <w:tc>
          <w:tcPr>
            <w:tcW w:type="dxa" w:w="3485"/>
            <w:shd w:fill="EAF0F8"/>
          </w:tcPr>
          <w:p>
            <w:r>
              <w:rPr>
                <w:b/>
              </w:rPr>
              <w:t>Location</w:t>
            </w:r>
          </w:p>
        </w:tc>
        <w:tc>
          <w:tcPr>
            <w:tcW w:type="dxa" w:w="3485"/>
            <w:shd w:fill="EAF0F8"/>
          </w:tcPr>
          <w:p>
            <w:r>
              <w:rPr>
                <w:b/>
              </w:rPr>
              <w:t>Checked / corrected reading</w:t>
            </w:r>
          </w:p>
        </w:tc>
        <w:tc>
          <w:tcPr>
            <w:tcW w:type="dxa" w:w="3485"/>
            <w:shd w:fill="EAF0F8"/>
          </w:tcPr>
          <w:p>
            <w:r>
              <w:rPr>
                <w:b/>
              </w:rPr>
              <w:t>Basis</w:t>
            </w:r>
          </w:p>
        </w:tc>
      </w:tr>
      <w:tr>
        <w:tc>
          <w:tcPr>
            <w:tcW w:type="dxa" w:w="1800"/>
            <w:vAlign w:val="top"/>
          </w:tcPr>
          <w:p>
            <w:pPr>
              <w:spacing w:after="0" w:line="240" w:lineRule="auto"/>
            </w:pPr>
            <w:r>
              <w:rPr>
                <w:rFonts w:ascii="Times New Roman" w:hAnsi="Times New Roman"/>
                <w:sz w:val="16"/>
              </w:rPr>
              <w:t>Gen. 17:1</w:t>
            </w:r>
          </w:p>
        </w:tc>
        <w:tc>
          <w:tcPr>
            <w:tcW w:type="dxa" w:w="3672"/>
            <w:vAlign w:val="top"/>
          </w:tcPr>
          <w:p>
            <w:pPr>
              <w:spacing w:after="0" w:line="240" w:lineRule="auto"/>
            </w:pPr>
            <w:r>
              <w:rPr>
                <w:rFonts w:ascii="Times New Roman" w:hAnsi="Times New Roman"/>
                <w:sz w:val="16"/>
              </w:rPr>
              <w:t>El Shaddai; tamim = whole/upright/sincere</w:t>
            </w:r>
          </w:p>
        </w:tc>
        <w:tc>
          <w:tcPr>
            <w:tcW w:type="dxa" w:w="4536"/>
            <w:vAlign w:val="top"/>
          </w:tcPr>
          <w:p>
            <w:pPr>
              <w:spacing w:after="0" w:line="240" w:lineRule="auto"/>
            </w:pPr>
            <w:r>
              <w:rPr>
                <w:rFonts w:ascii="Times New Roman" w:hAnsi="Times New Roman"/>
                <w:sz w:val="16"/>
              </w:rPr>
              <w:t>Resolves the uncertain “perfect” note while flagging disputed Shaddai etymologies.</w:t>
            </w:r>
          </w:p>
        </w:tc>
      </w:tr>
      <w:tr>
        <w:tc>
          <w:tcPr>
            <w:tcW w:type="dxa" w:w="1800"/>
            <w:vAlign w:val="top"/>
          </w:tcPr>
          <w:p>
            <w:pPr>
              <w:spacing w:after="0" w:line="240" w:lineRule="auto"/>
            </w:pPr>
            <w:r>
              <w:rPr>
                <w:rFonts w:ascii="Times New Roman" w:hAnsi="Times New Roman"/>
                <w:sz w:val="16"/>
              </w:rPr>
              <w:t>Gen. 17:5</w:t>
            </w:r>
          </w:p>
        </w:tc>
        <w:tc>
          <w:tcPr>
            <w:tcW w:type="dxa" w:w="3672"/>
            <w:vAlign w:val="top"/>
          </w:tcPr>
          <w:p>
            <w:pPr>
              <w:spacing w:after="0" w:line="240" w:lineRule="auto"/>
            </w:pPr>
            <w:r>
              <w:rPr>
                <w:rFonts w:ascii="Times New Roman" w:hAnsi="Times New Roman"/>
                <w:sz w:val="16"/>
              </w:rPr>
              <w:t>Abram → Abraham; Rom. 4:16–17</w:t>
            </w:r>
          </w:p>
        </w:tc>
        <w:tc>
          <w:tcPr>
            <w:tcW w:type="dxa" w:w="4536"/>
            <w:vAlign w:val="top"/>
          </w:tcPr>
          <w:p>
            <w:pPr>
              <w:spacing w:after="0" w:line="240" w:lineRule="auto"/>
            </w:pPr>
            <w:r>
              <w:rPr>
                <w:rFonts w:ascii="Times New Roman" w:hAnsi="Times New Roman"/>
                <w:sz w:val="16"/>
              </w:rPr>
              <w:t>Checks the father-of-many-nations interpretation.</w:t>
            </w:r>
          </w:p>
        </w:tc>
      </w:tr>
      <w:tr>
        <w:tc>
          <w:tcPr>
            <w:tcW w:type="dxa" w:w="1800"/>
            <w:vAlign w:val="top"/>
          </w:tcPr>
          <w:p>
            <w:pPr>
              <w:spacing w:after="0" w:line="240" w:lineRule="auto"/>
            </w:pPr>
            <w:r>
              <w:rPr>
                <w:rFonts w:ascii="Times New Roman" w:hAnsi="Times New Roman"/>
                <w:sz w:val="16"/>
              </w:rPr>
              <w:t>Gen. 17:9–11</w:t>
            </w:r>
          </w:p>
        </w:tc>
        <w:tc>
          <w:tcPr>
            <w:tcW w:type="dxa" w:w="3672"/>
            <w:vAlign w:val="top"/>
          </w:tcPr>
          <w:p>
            <w:pPr>
              <w:spacing w:after="0" w:line="240" w:lineRule="auto"/>
            </w:pPr>
            <w:r>
              <w:rPr>
                <w:rFonts w:ascii="Times New Roman" w:hAnsi="Times New Roman"/>
                <w:sz w:val="16"/>
              </w:rPr>
              <w:t>Acts 7:8; Rom. 4:11; orlah; Rom. 2:29</w:t>
            </w:r>
          </w:p>
        </w:tc>
        <w:tc>
          <w:tcPr>
            <w:tcW w:type="dxa" w:w="4536"/>
            <w:vAlign w:val="top"/>
          </w:tcPr>
          <w:p>
            <w:pPr>
              <w:spacing w:after="0" w:line="240" w:lineRule="auto"/>
            </w:pPr>
            <w:r>
              <w:rPr>
                <w:rFonts w:ascii="Times New Roman" w:hAnsi="Times New Roman"/>
                <w:sz w:val="16"/>
              </w:rPr>
              <w:t>Checks covenant-sign and heart-circumcision references.</w:t>
            </w:r>
          </w:p>
        </w:tc>
      </w:tr>
      <w:tr>
        <w:tc>
          <w:tcPr>
            <w:tcW w:type="dxa" w:w="1800"/>
            <w:vAlign w:val="top"/>
          </w:tcPr>
          <w:p>
            <w:pPr>
              <w:spacing w:after="0" w:line="240" w:lineRule="auto"/>
            </w:pPr>
            <w:r>
              <w:rPr>
                <w:rFonts w:ascii="Times New Roman" w:hAnsi="Times New Roman"/>
                <w:sz w:val="16"/>
              </w:rPr>
              <w:t>Gen. 17:12–14</w:t>
            </w:r>
          </w:p>
        </w:tc>
        <w:tc>
          <w:tcPr>
            <w:tcW w:type="dxa" w:w="3672"/>
            <w:vAlign w:val="top"/>
          </w:tcPr>
          <w:p>
            <w:pPr>
              <w:spacing w:after="0" w:line="240" w:lineRule="auto"/>
            </w:pPr>
            <w:r>
              <w:rPr>
                <w:rFonts w:ascii="Times New Roman" w:hAnsi="Times New Roman"/>
                <w:sz w:val="16"/>
              </w:rPr>
              <w:t>John 7:22; Exod. 12:48; Col. 2:11–12</w:t>
            </w:r>
          </w:p>
        </w:tc>
        <w:tc>
          <w:tcPr>
            <w:tcW w:type="dxa" w:w="4536"/>
            <w:vAlign w:val="top"/>
          </w:tcPr>
          <w:p>
            <w:pPr>
              <w:spacing w:after="0" w:line="240" w:lineRule="auto"/>
            </w:pPr>
            <w:r>
              <w:rPr>
                <w:rFonts w:ascii="Times New Roman" w:hAnsi="Times New Roman"/>
                <w:sz w:val="16"/>
              </w:rPr>
              <w:t>Confirms Abrahamic priority and spiritual application.</w:t>
            </w:r>
          </w:p>
        </w:tc>
      </w:tr>
      <w:tr>
        <w:tc>
          <w:tcPr>
            <w:tcW w:type="dxa" w:w="1800"/>
            <w:vAlign w:val="top"/>
          </w:tcPr>
          <w:p>
            <w:pPr>
              <w:spacing w:after="0" w:line="240" w:lineRule="auto"/>
            </w:pPr>
            <w:r>
              <w:rPr>
                <w:rFonts w:ascii="Times New Roman" w:hAnsi="Times New Roman"/>
                <w:sz w:val="16"/>
              </w:rPr>
              <w:t>Gen. 17:15</w:t>
            </w:r>
          </w:p>
        </w:tc>
        <w:tc>
          <w:tcPr>
            <w:tcW w:type="dxa" w:w="3672"/>
            <w:vAlign w:val="top"/>
          </w:tcPr>
          <w:p>
            <w:pPr>
              <w:spacing w:after="0" w:line="240" w:lineRule="auto"/>
            </w:pPr>
            <w:r>
              <w:rPr>
                <w:rFonts w:ascii="Times New Roman" w:hAnsi="Times New Roman"/>
                <w:sz w:val="16"/>
              </w:rPr>
              <w:t>Sarai = my princess; Sarah = princess</w:t>
            </w:r>
          </w:p>
        </w:tc>
        <w:tc>
          <w:tcPr>
            <w:tcW w:type="dxa" w:w="4536"/>
            <w:vAlign w:val="top"/>
          </w:tcPr>
          <w:p>
            <w:pPr>
              <w:spacing w:after="0" w:line="240" w:lineRule="auto"/>
            </w:pPr>
            <w:r>
              <w:rPr>
                <w:rFonts w:ascii="Times New Roman" w:hAnsi="Times New Roman"/>
                <w:sz w:val="16"/>
              </w:rPr>
              <w:t>Recovers Mansfield’s name-change explanation.</w:t>
            </w:r>
          </w:p>
        </w:tc>
      </w:tr>
      <w:tr>
        <w:tc>
          <w:tcPr>
            <w:tcW w:type="dxa" w:w="1800"/>
            <w:vAlign w:val="top"/>
          </w:tcPr>
          <w:p>
            <w:pPr>
              <w:spacing w:after="0" w:line="240" w:lineRule="auto"/>
            </w:pPr>
            <w:r>
              <w:rPr>
                <w:rFonts w:ascii="Times New Roman" w:hAnsi="Times New Roman"/>
                <w:sz w:val="16"/>
              </w:rPr>
              <w:t>Gen. 17:17</w:t>
            </w:r>
          </w:p>
        </w:tc>
        <w:tc>
          <w:tcPr>
            <w:tcW w:type="dxa" w:w="3672"/>
            <w:vAlign w:val="top"/>
          </w:tcPr>
          <w:p>
            <w:pPr>
              <w:spacing w:after="0" w:line="240" w:lineRule="auto"/>
            </w:pPr>
            <w:r>
              <w:rPr>
                <w:rFonts w:ascii="Times New Roman" w:hAnsi="Times New Roman"/>
                <w:sz w:val="16"/>
              </w:rPr>
              <w:t>Rom. 4:18–22; John 8:56</w:t>
            </w:r>
          </w:p>
        </w:tc>
        <w:tc>
          <w:tcPr>
            <w:tcW w:type="dxa" w:w="4536"/>
            <w:vAlign w:val="top"/>
          </w:tcPr>
          <w:p>
            <w:pPr>
              <w:spacing w:after="0" w:line="240" w:lineRule="auto"/>
            </w:pPr>
            <w:r>
              <w:rPr>
                <w:rFonts w:ascii="Times New Roman" w:hAnsi="Times New Roman"/>
                <w:sz w:val="16"/>
              </w:rPr>
              <w:t>Clarifies laughter as joyful astonishment in Mansfield’s reading, not disbelief.</w:t>
            </w:r>
          </w:p>
        </w:tc>
      </w:tr>
      <w:tr>
        <w:tc>
          <w:tcPr>
            <w:tcW w:type="dxa" w:w="1800"/>
            <w:vAlign w:val="top"/>
          </w:tcPr>
          <w:p>
            <w:pPr>
              <w:spacing w:after="0" w:line="240" w:lineRule="auto"/>
            </w:pPr>
            <w:r>
              <w:rPr>
                <w:rFonts w:ascii="Times New Roman" w:hAnsi="Times New Roman"/>
                <w:sz w:val="16"/>
              </w:rPr>
              <w:t>Gen. 17:19–21</w:t>
            </w:r>
          </w:p>
        </w:tc>
        <w:tc>
          <w:tcPr>
            <w:tcW w:type="dxa" w:w="3672"/>
            <w:vAlign w:val="top"/>
          </w:tcPr>
          <w:p>
            <w:pPr>
              <w:spacing w:after="0" w:line="240" w:lineRule="auto"/>
            </w:pPr>
            <w:r>
              <w:rPr>
                <w:rFonts w:ascii="Times New Roman" w:hAnsi="Times New Roman"/>
                <w:sz w:val="16"/>
              </w:rPr>
              <w:t>Isaac; Gal. 4:28; Gen. 25:12–16</w:t>
            </w:r>
          </w:p>
        </w:tc>
        <w:tc>
          <w:tcPr>
            <w:tcW w:type="dxa" w:w="4536"/>
            <w:vAlign w:val="top"/>
          </w:tcPr>
          <w:p>
            <w:pPr>
              <w:spacing w:after="0" w:line="240" w:lineRule="auto"/>
            </w:pPr>
            <w:r>
              <w:rPr>
                <w:rFonts w:ascii="Times New Roman" w:hAnsi="Times New Roman"/>
                <w:sz w:val="16"/>
              </w:rPr>
              <w:t>Checks Isaac covenant line and Ishmael’s separate blessing.</w:t>
            </w:r>
          </w:p>
        </w:tc>
      </w:tr>
      <w:tr>
        <w:tc>
          <w:tcPr>
            <w:tcW w:type="dxa" w:w="1800"/>
            <w:vAlign w:val="top"/>
          </w:tcPr>
          <w:p>
            <w:pPr>
              <w:spacing w:after="0" w:line="240" w:lineRule="auto"/>
            </w:pPr>
            <w:r>
              <w:rPr>
                <w:rFonts w:ascii="Times New Roman" w:hAnsi="Times New Roman"/>
                <w:sz w:val="16"/>
              </w:rPr>
              <w:t>Gen. 17:23–27</w:t>
            </w:r>
          </w:p>
        </w:tc>
        <w:tc>
          <w:tcPr>
            <w:tcW w:type="dxa" w:w="3672"/>
            <w:vAlign w:val="top"/>
          </w:tcPr>
          <w:p>
            <w:pPr>
              <w:spacing w:after="0" w:line="240" w:lineRule="auto"/>
            </w:pPr>
            <w:r>
              <w:rPr>
                <w:rFonts w:ascii="Times New Roman" w:hAnsi="Times New Roman"/>
                <w:sz w:val="16"/>
              </w:rPr>
              <w:t>selfsame-day obedience; enoshim = mortal/weak men</w:t>
            </w:r>
          </w:p>
        </w:tc>
        <w:tc>
          <w:tcPr>
            <w:tcW w:type="dxa" w:w="4536"/>
            <w:vAlign w:val="top"/>
          </w:tcPr>
          <w:p>
            <w:pPr>
              <w:spacing w:after="0" w:line="240" w:lineRule="auto"/>
            </w:pPr>
            <w:r>
              <w:rPr>
                <w:rFonts w:ascii="Times New Roman" w:hAnsi="Times New Roman"/>
                <w:sz w:val="16"/>
              </w:rPr>
              <w:t>Preserves the household-obedience emphasis; thirteen symbolism labelled as Mansfield’s.</w:t>
            </w:r>
          </w:p>
        </w:tc>
      </w:tr>
    </w:tbl>
    <w:p>
      <w:pPr>
        <w:pStyle w:val="Heading1"/>
      </w:pPr>
      <w:r>
        <w:t>RESIDUAL UNCERTAINTIES</w:t>
      </w:r>
    </w:p>
    <w:p>
      <w:pPr>
        <w:ind w:left="230" w:hanging="173"/>
      </w:pPr>
      <w:r>
        <w:t>•  Mansfield gives competing explanatory derivations for Shaddai. The Hebrew title El Shaddai is certain; “Strength of the Destroyers/Nourishers” is retained only as Mansfield’s theological exposition, not an uncontested dictionary definition.</w:t>
      </w:r>
    </w:p>
    <w:p>
      <w:pPr>
        <w:ind w:left="230" w:hanging="173"/>
      </w:pPr>
      <w:r>
        <w:t>•  Several tiny cross-references in the handwritten circumcision box remain unreadable; only references confirmed in the published Mansfield chapter are included.</w:t>
      </w:r>
    </w:p>
    <w:p>
      <w:pPr>
        <w:ind w:left="230" w:hanging="173"/>
      </w:pPr>
      <w:r>
        <w:t>•  The association of Ishmael’s age thirteen with a general biblical “number of rebellion” is Mansfield’s symbolic scheme rather than an explicit statement of Genesis 17 and is labelled accordingly.</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7"/>
      </w:rPr>
      <w:t>H. P. MANSFIELD BIBLE NOTES  •  GENESIS 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67A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