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1E4267"/>
          <w:sz w:val="44"/>
        </w:rPr>
        <w:t>GENESIS 18</w:t>
      </w:r>
    </w:p>
    <w:p>
      <w:pPr>
        <w:pBdr>
          <w:bottom w:val="single" w:sz="10" w:color="4A86D4"/>
        </w:pBdr>
        <w:spacing w:after="160"/>
      </w:pPr>
    </w:p>
    <w:p>
      <w:pPr>
        <w:jc w:val="center"/>
      </w:pPr>
      <w:r>
        <w:rPr>
          <w:rFonts w:ascii="Arial" w:hAnsi="Arial"/>
          <w:b/>
          <w:i/>
          <w:color w:val="4A86D4"/>
          <w:sz w:val="22"/>
        </w:rPr>
        <w:t>THE THREE VISITORS • THE PROMISED SON • ABRAHAM INTERCEDES</w:t>
      </w:r>
    </w:p>
    <w:p>
      <w:pPr>
        <w:jc w:val="center"/>
      </w:pPr>
      <w:r>
        <w:rPr>
          <w:i/>
          <w:sz w:val="19"/>
        </w:rPr>
        <w:t>H. P. Mansfield Bible notes — checked and arranged in verse-by-verse Expositor style</w:t>
      </w:r>
    </w:p>
    <w:p>
      <w:pPr>
        <w:spacing w:after="160"/>
        <w:jc w:val="center"/>
      </w:pPr>
      <w:r>
        <w:rPr>
          <w:sz w:val="17"/>
        </w:rPr>
        <w:t>Source: HPB 01-Gen01-Gen41.PDF, Genesis 18 photographed pages 62–64</w:t>
      </w:r>
    </w:p>
    <w:p>
      <w:pPr>
        <w:pStyle w:val="Heading1"/>
        <w:keepNext/>
      </w:pPr>
      <w:r>
        <w:t>CHAPTER OVERVIEW</w:t>
      </w:r>
    </w:p>
    <w:p>
      <w:r>
        <w:t>Genesis 18 moves from fellowship to judgment. Abraham receives three visitors, serves them with energetic hospitality, hears the promise of Isaac repeated for Sarah’s benefit, and then is admitted to knowledge of the approaching judgment on Sodom.</w:t>
      </w:r>
    </w:p>
    <w:p>
      <w:r>
        <w:t>The second half presents Abraham as teacher and intercessor. His confidence that “the Judge of all the earth” must do right allows him to plead boldly yet humbly for the righteous within a corrupt city.</w:t>
      </w:r>
    </w:p>
    <w:p>
      <w:pPr>
        <w:pStyle w:val="Heading1"/>
        <w:keepNext/>
      </w:pPr>
      <w:r>
        <w:t>ABRAHAM ENTERTAINS THE VISITORS — GENESIS 18:1–8</w:t>
      </w:r>
    </w:p>
    <w:p>
      <w:pPr>
        <w:keepNext/>
        <w:spacing w:before="80" w:after="20"/>
      </w:pPr>
      <w:r>
        <w:rPr>
          <w:rFonts w:ascii="Arial" w:hAnsi="Arial"/>
          <w:b/>
          <w:color w:val="2F67A7"/>
          <w:sz w:val="22"/>
        </w:rPr>
        <w:t>Genesis 18:1 — “Yahweh appeared… in the plains of Mamre”</w:t>
      </w:r>
    </w:p>
    <w:p>
      <w:pPr>
        <w:spacing w:after="60" w:line="240" w:lineRule="auto"/>
      </w:pPr>
      <w:r>
        <w:t>As in Genesis 13:18, “plains” is better explained as the oaks/terebinths of Mamre. The appearance of Yahweh is mediated through the angelic visitors introduced in verse 2; Mansfield is careful to treat this as Divine manifestation rather than Yahweh personally becoming a mortal man.</w:t>
      </w:r>
    </w:p>
    <w:p>
      <w:pPr>
        <w:spacing w:after="60" w:line="240" w:lineRule="auto"/>
      </w:pPr>
      <w:r>
        <w:t>Abraham is sitting at the tent door in the heat of the day. Mansfield treats the quiet setting as a moment of rest and meditation before unexpected service arrives.</w:t>
      </w:r>
    </w:p>
    <w:p>
      <w:pPr>
        <w:keepNext/>
        <w:spacing w:before="80" w:after="20"/>
      </w:pPr>
      <w:r>
        <w:rPr>
          <w:rFonts w:ascii="Arial" w:hAnsi="Arial"/>
          <w:b/>
          <w:color w:val="2F67A7"/>
          <w:sz w:val="22"/>
        </w:rPr>
        <w:t>Genesis 18:2 — “lo, three men stood by him”</w:t>
      </w:r>
    </w:p>
    <w:p>
      <w:pPr>
        <w:spacing w:after="60" w:line="240" w:lineRule="auto"/>
      </w:pPr>
      <w:r>
        <w:t>The recovered lexical note is enoshim, men as they appeared in human weakness/mortality. Psalm 9:20 is Mansfield’s comparison. The visitors are subsequently identified as angels; Hebrews 13:2 explicitly draws the hospitality lesson from entertaining angels unawares.</w:t>
      </w:r>
    </w:p>
    <w:p>
      <w:pPr>
        <w:spacing w:after="60" w:line="240" w:lineRule="auto"/>
      </w:pPr>
      <w:r>
        <w:t>Abraham runs to meet them and bows toward the ground. Mansfield notes that bowing is an eastern gesture of respect and service (compare Genesis 23:7; 33:6–7), not evidence that Abraham believed the visitors were a triune deity.</w:t>
      </w:r>
    </w:p>
    <w:p>
      <w:pPr>
        <w:keepNext/>
        <w:spacing w:before="80" w:after="20"/>
      </w:pPr>
      <w:r>
        <w:rPr>
          <w:rFonts w:ascii="Arial" w:hAnsi="Arial"/>
          <w:b/>
          <w:color w:val="2F67A7"/>
          <w:sz w:val="22"/>
        </w:rPr>
        <w:t>Genesis 18:3–5 — water, rest and “a morsel of bread”</w:t>
      </w:r>
    </w:p>
    <w:p>
      <w:pPr>
        <w:spacing w:after="60" w:line="240" w:lineRule="auto"/>
      </w:pPr>
      <w:r>
        <w:t>Abraham’s modest offer becomes lavish hospitality. Water for dusty feet, shade, rest and food are offered without reluctance. Romans 12:13 and 1 Peter 4:9 are Mansfield’s main hospitality parallels.</w:t>
      </w:r>
    </w:p>
    <w:p>
      <w:pPr>
        <w:spacing w:after="60" w:line="240" w:lineRule="auto"/>
      </w:pPr>
      <w:r>
        <w:t>“Comfort” carries the sense of strengthening/staying the heart. The goal is refreshment of the guests rather than display by the host.</w:t>
      </w:r>
    </w:p>
    <w:p>
      <w:pPr>
        <w:keepNext/>
        <w:spacing w:before="80" w:after="20"/>
      </w:pPr>
      <w:r>
        <w:rPr>
          <w:rFonts w:ascii="Arial" w:hAnsi="Arial"/>
          <w:b/>
          <w:color w:val="2F67A7"/>
          <w:sz w:val="22"/>
        </w:rPr>
        <w:t>Genesis 18:6–8 — “Make ready quickly”</w:t>
      </w:r>
    </w:p>
    <w:p>
      <w:pPr>
        <w:spacing w:after="60" w:line="240" w:lineRule="auto"/>
      </w:pPr>
      <w:r>
        <w:t>The repeated haste is deliberate: Abraham runs, Sarah prepares three measures of fine meal, a tender calf is selected, and a young man hastens to prepare it. Published Mansfield identifies seah as the measure and uggah as round cakes.</w:t>
      </w:r>
    </w:p>
    <w:p>
      <w:pPr>
        <w:spacing w:after="60" w:line="240" w:lineRule="auto"/>
      </w:pPr>
      <w:r>
        <w:t>Butter/curd, milk and the calf complete the meal. Abraham stands by as servant while they eat. Mansfield develops sacrificial symbolism from the meal, but the primary narrative lesson is wholehearted, personal hospitality rather than delegation from a distance.</w:t>
      </w:r>
    </w:p>
    <w:p>
      <w:pPr>
        <w:pStyle w:val="Heading1"/>
        <w:keepNext/>
      </w:pPr>
      <w:r>
        <w:t>SARAH HEARS THE PROMISE — GENESIS 18:9–15</w:t>
      </w:r>
    </w:p>
    <w:p>
      <w:pPr>
        <w:keepNext/>
        <w:spacing w:before="80" w:after="20"/>
      </w:pPr>
      <w:r>
        <w:rPr>
          <w:rFonts w:ascii="Arial" w:hAnsi="Arial"/>
          <w:b/>
          <w:color w:val="2F67A7"/>
          <w:sz w:val="22"/>
        </w:rPr>
        <w:t>Genesis 18:9–10 — “Where is Sarah thy wife?… Sarah shall have a son”</w:t>
      </w:r>
    </w:p>
    <w:p>
      <w:pPr>
        <w:spacing w:after="60" w:line="240" w:lineRule="auto"/>
      </w:pPr>
      <w:r>
        <w:t>The visitors’ knowledge of Sarah’s newly given name begins to disclose their supernatural commission. One becomes spokesman. The promise is now fixed to “the time of life,” which Mansfield takes as the normal gestational period.</w:t>
      </w:r>
    </w:p>
    <w:p>
      <w:pPr>
        <w:spacing w:after="60" w:line="240" w:lineRule="auto"/>
      </w:pPr>
      <w:r>
        <w:t>Romans 9:7–9 quotes the promise to distinguish children merely of flesh from children of promise. Hebrews 11:11 explains Sarah’s eventual response as faith in the One who promised.</w:t>
      </w:r>
    </w:p>
    <w:p>
      <w:pPr>
        <w:keepNext/>
        <w:spacing w:before="80" w:after="20"/>
      </w:pPr>
      <w:r>
        <w:rPr>
          <w:rFonts w:ascii="Arial" w:hAnsi="Arial"/>
          <w:b/>
          <w:color w:val="2F67A7"/>
          <w:sz w:val="22"/>
        </w:rPr>
        <w:t>Genesis 18:11–12 — Sarah laughs “within herself”</w:t>
      </w:r>
    </w:p>
    <w:p>
      <w:pPr>
        <w:spacing w:after="60" w:line="240" w:lineRule="auto"/>
      </w:pPr>
      <w:r>
        <w:t>Sarah’s physical condition makes conception naturally impossible. Mansfield contrasts her inward laughter of doubt with Abraham’s believing laughter in Genesis 17:17. Sarah’s response later changes into the joy of Genesis 21:6.</w:t>
      </w:r>
    </w:p>
    <w:p>
      <w:pPr>
        <w:spacing w:after="60" w:line="240" w:lineRule="auto"/>
      </w:pPr>
      <w:r>
        <w:t>Her reference to Abraham as “my lord” is adon, ruler/master in the ordinary household sense; 1 Peter 3:4–6 cites Sarah’s respectful conduct as an example.</w:t>
      </w:r>
    </w:p>
    <w:p>
      <w:pPr>
        <w:keepNext/>
        <w:spacing w:before="80" w:after="20"/>
      </w:pPr>
      <w:r>
        <w:rPr>
          <w:rFonts w:ascii="Arial" w:hAnsi="Arial"/>
          <w:b/>
          <w:color w:val="2F67A7"/>
          <w:sz w:val="22"/>
        </w:rPr>
        <w:t>Genesis 18:13–14 — “Is any thing too hard for Yahweh?”</w:t>
      </w:r>
    </w:p>
    <w:p>
      <w:pPr>
        <w:spacing w:after="60" w:line="240" w:lineRule="auto"/>
      </w:pPr>
      <w:r>
        <w:t>The visitors know an unspoken laugh, showing knowledge beyond ordinary human observation (compare 1 Samuel 16:7; Hebrews 4:13). This becomes the means of turning Sarah toward faith.</w:t>
      </w:r>
    </w:p>
    <w:p>
      <w:pPr>
        <w:spacing w:after="60" w:line="240" w:lineRule="auto"/>
      </w:pPr>
      <w:r>
        <w:t>The key question is checked across Scripture: Numbers 11:23; 1 Samuel 14:6; Luke 1:37; Ephesians 3:20. Mansfield also notes that “thing” is dabar, “word/matter”: no word or purpose of Yahweh is beyond His power to perform.</w:t>
      </w:r>
    </w:p>
    <w:p>
      <w:pPr>
        <w:keepNext/>
        <w:spacing w:before="80" w:after="20"/>
      </w:pPr>
      <w:r>
        <w:rPr>
          <w:rFonts w:ascii="Arial" w:hAnsi="Arial"/>
          <w:b/>
          <w:color w:val="2F67A7"/>
          <w:sz w:val="22"/>
        </w:rPr>
        <w:t>Genesis 18:15 — “Sarah denied… for she was afraid”</w:t>
      </w:r>
    </w:p>
    <w:p>
      <w:pPr>
        <w:spacing w:after="60" w:line="240" w:lineRule="auto"/>
      </w:pPr>
      <w:r>
        <w:t>Fear produces denial, but the messenger simply answers, “Nay; but thou didst laugh.” The correction establishes that inner thoughts are not hidden from Divine knowledge. The narrative does not leave Sarah there: Hebrews 11:11 shows the faith to which she came.</w:t>
      </w:r>
    </w:p>
    <w:p>
      <w:pPr>
        <w:pStyle w:val="Heading1"/>
        <w:keepNext/>
      </w:pPr>
      <w:r>
        <w:t>THE JUDGMENT OF SODOM REVEALED — GENESIS 18:16–22</w:t>
      </w:r>
    </w:p>
    <w:p>
      <w:pPr>
        <w:keepNext/>
        <w:spacing w:before="80" w:after="20"/>
      </w:pPr>
      <w:r>
        <w:rPr>
          <w:rFonts w:ascii="Arial" w:hAnsi="Arial"/>
          <w:b/>
          <w:color w:val="2F67A7"/>
          <w:sz w:val="22"/>
        </w:rPr>
        <w:t>Genesis 18:16–18 — “Shall I hide from Abraham that thing which I do?”</w:t>
      </w:r>
    </w:p>
    <w:p>
      <w:pPr>
        <w:spacing w:after="60" w:line="240" w:lineRule="auto"/>
      </w:pPr>
      <w:r>
        <w:t>Abraham accompanies the visitors as they look toward Sodom. The disclosure of coming judgment is linked with Abraham’s covenant role and friendship with God. 2 Chronicles 20:7, Isaiah 41:8 and James 2:23 call Abraham God’s friend; Amos 3:7 and John 15:15 provide Mansfield’s principle that friends/servants are admitted to Divine purpose.</w:t>
      </w:r>
    </w:p>
    <w:p>
      <w:pPr>
        <w:spacing w:after="60" w:line="240" w:lineRule="auto"/>
      </w:pPr>
      <w:r>
        <w:t>The promise that all nations will be blessed in Abraham is restated immediately before Sodom is judged: blessing is universal in scope but not independent of moral response.</w:t>
      </w:r>
    </w:p>
    <w:p>
      <w:pPr>
        <w:keepNext/>
        <w:spacing w:before="80" w:after="20"/>
      </w:pPr>
      <w:r>
        <w:rPr>
          <w:rFonts w:ascii="Arial" w:hAnsi="Arial"/>
          <w:b/>
          <w:color w:val="2F67A7"/>
          <w:sz w:val="22"/>
        </w:rPr>
        <w:t>Genesis 18:19 — “For I know him… he will command his children and his household”</w:t>
      </w:r>
    </w:p>
    <w:p>
      <w:pPr>
        <w:spacing w:after="60" w:line="240" w:lineRule="auto"/>
      </w:pPr>
      <w:r>
        <w:t>Published Mansfield clarifies the phrase with the R.V. sense: “I have known him, to the end that he may command…” Divine knowledge/calling creates responsibility. Abraham must teach his household to keep Yahweh’s way, doing justice and judgment.</w:t>
      </w:r>
    </w:p>
    <w:p>
      <w:pPr>
        <w:spacing w:after="60" w:line="240" w:lineRule="auto"/>
      </w:pPr>
      <w:r>
        <w:t>Deuteronomy 6:6–8; Psalm 78:2–9 and Ephesians 6:4 are the main checked family-instruction parallels. Mansfield’s emphasis is not merely private belief: covenant faith must be deliberately transmitted and practised.</w:t>
      </w:r>
    </w:p>
    <w:p>
      <w:pPr>
        <w:keepNext/>
        <w:spacing w:before="80" w:after="20"/>
      </w:pPr>
      <w:r>
        <w:rPr>
          <w:rFonts w:ascii="Arial" w:hAnsi="Arial"/>
          <w:b/>
          <w:color w:val="2F67A7"/>
          <w:sz w:val="22"/>
        </w:rPr>
        <w:t>Genesis 18:20–21 — “the cry of Sodom and Gomorrah is great”</w:t>
      </w:r>
    </w:p>
    <w:p>
      <w:pPr>
        <w:spacing w:after="60" w:line="240" w:lineRule="auto"/>
      </w:pPr>
      <w:r>
        <w:t>The sin is described as grievous and its “cry” as reaching Divine attention. “I will go down now, and see” is anthropomorphic judicial language: it presents careful investigation before judgment, not lack of knowledge.</w:t>
      </w:r>
    </w:p>
    <w:p>
      <w:pPr>
        <w:spacing w:after="60" w:line="240" w:lineRule="auto"/>
      </w:pPr>
      <w:r>
        <w:t>This principle guards the later destruction from being read as arbitrary or impulsive. The Judge investigates and distinguishes.</w:t>
      </w:r>
    </w:p>
    <w:p>
      <w:pPr>
        <w:keepNext/>
        <w:spacing w:before="80" w:after="20"/>
      </w:pPr>
      <w:r>
        <w:rPr>
          <w:rFonts w:ascii="Arial" w:hAnsi="Arial"/>
          <w:b/>
          <w:color w:val="2F67A7"/>
          <w:sz w:val="22"/>
        </w:rPr>
        <w:t>Genesis 18:22 — “Abraham stood yet before Yahweh”</w:t>
      </w:r>
    </w:p>
    <w:p>
      <w:pPr>
        <w:spacing w:after="60" w:line="240" w:lineRule="auto"/>
      </w:pPr>
      <w:r>
        <w:t>Two visitors continue toward Sodom while the principal representative remains with Abraham. The text places Abraham in a remarkable position of access: he stays before Yahweh’s representative and draws near to intercede.</w:t>
      </w:r>
    </w:p>
    <w:p>
      <w:pPr>
        <w:pStyle w:val="Heading1"/>
        <w:keepNext/>
      </w:pPr>
      <w:r>
        <w:t>ABRAHAM INTERCEDES — GENESIS 18:23–33</w:t>
      </w:r>
    </w:p>
    <w:p>
      <w:pPr>
        <w:keepNext/>
        <w:spacing w:before="80" w:after="20"/>
      </w:pPr>
      <w:r>
        <w:rPr>
          <w:rFonts w:ascii="Arial" w:hAnsi="Arial"/>
          <w:b/>
          <w:color w:val="2F67A7"/>
          <w:sz w:val="22"/>
        </w:rPr>
        <w:t>Genesis 18:23–25 — “Shall not the Judge of all the earth do right?”</w:t>
      </w:r>
    </w:p>
    <w:p>
      <w:pPr>
        <w:spacing w:after="60" w:line="240" w:lineRule="auto"/>
      </w:pPr>
      <w:r>
        <w:t>Abraham’s question is not a challenge to God’s morality but an appeal founded upon confidence in it. He asks whether the righteous will be swept away with the wicked and anchors his plea in the certainty that the Judge of all the earth acts justly.</w:t>
      </w:r>
    </w:p>
    <w:p>
      <w:pPr>
        <w:spacing w:after="60" w:line="240" w:lineRule="auto"/>
      </w:pPr>
      <w:r>
        <w:t>The verse supplies a controlling principle for the chapter: Divine judgment discriminates. Abraham’s boldness rests on what he knows of God’s character.</w:t>
      </w:r>
    </w:p>
    <w:p>
      <w:pPr>
        <w:keepNext/>
        <w:spacing w:before="80" w:after="20"/>
      </w:pPr>
      <w:r>
        <w:rPr>
          <w:rFonts w:ascii="Arial" w:hAnsi="Arial"/>
          <w:b/>
          <w:color w:val="2F67A7"/>
          <w:sz w:val="22"/>
        </w:rPr>
        <w:t>Genesis 18:26–32 — fifty… forty-five… forty… thirty… twenty… ten</w:t>
      </w:r>
    </w:p>
    <w:p>
      <w:pPr>
        <w:spacing w:after="60" w:line="240" w:lineRule="auto"/>
      </w:pPr>
      <w:r>
        <w:t>The descending sequence records sustained intercession. Abraham repeatedly combines bold petition with humility: “I am but dust and ashes,” and he asks that the Lord not be angry as he continues.</w:t>
      </w:r>
    </w:p>
    <w:p>
      <w:pPr>
        <w:spacing w:after="60" w:line="240" w:lineRule="auto"/>
      </w:pPr>
      <w:r>
        <w:t>Mansfield associates the numbers with probation and later judgments; those numerical applications are retained as his symbolism, not as stated meanings of the numbers. The unmistakable textual point is the widening demonstration of mercy: the city would be spared for a small righteous remnant.</w:t>
      </w:r>
    </w:p>
    <w:p>
      <w:pPr>
        <w:keepNext/>
        <w:spacing w:before="80" w:after="20"/>
      </w:pPr>
      <w:r>
        <w:rPr>
          <w:rFonts w:ascii="Arial" w:hAnsi="Arial"/>
          <w:b/>
          <w:color w:val="2F67A7"/>
          <w:sz w:val="22"/>
        </w:rPr>
        <w:t>Genesis 18:33 — the dialogue ends</w:t>
      </w:r>
    </w:p>
    <w:p>
      <w:pPr>
        <w:spacing w:after="60" w:line="240" w:lineRule="auto"/>
      </w:pPr>
      <w:r>
        <w:t>Yahweh’s representative departs when the conversation is complete, and Abraham returns to his place. Abraham stops at ten; Genesis 19 will show that Divine mercy is not limited by the point at which Abraham’s arithmetic stopped—Lot and those who heed the warning are still extracted before destruction.</w:t>
      </w:r>
    </w:p>
    <w:p>
      <w:pPr>
        <w:pStyle w:val="Heading1"/>
        <w:keepNext/>
      </w:pPr>
      <w:r>
        <w:t>PRINCIPAL THEMES</w:t>
      </w:r>
    </w:p>
    <w:p>
      <w:pPr>
        <w:spacing w:after="20"/>
      </w:pPr>
      <w:r>
        <w:rPr>
          <w:b/>
        </w:rPr>
        <w:t xml:space="preserve">Hospitality as service. </w:t>
      </w:r>
      <w:r>
        <w:t>Abraham’s welcome is prompt, generous and personal.</w:t>
      </w:r>
    </w:p>
    <w:p>
      <w:pPr>
        <w:spacing w:after="20"/>
      </w:pPr>
      <w:r>
        <w:rPr>
          <w:b/>
        </w:rPr>
        <w:t xml:space="preserve">Divine manifestation through messengers. </w:t>
      </w:r>
      <w:r>
        <w:t>The three appear as men but act as commissioned angels.</w:t>
      </w:r>
    </w:p>
    <w:p>
      <w:pPr>
        <w:spacing w:after="20"/>
      </w:pPr>
      <w:r>
        <w:rPr>
          <w:b/>
        </w:rPr>
        <w:t xml:space="preserve">Nothing is too hard for Yahweh. </w:t>
      </w:r>
      <w:r>
        <w:t>Natural impossibility cannot annul the promised son.</w:t>
      </w:r>
    </w:p>
    <w:p>
      <w:pPr>
        <w:spacing w:after="20"/>
      </w:pPr>
      <w:r>
        <w:rPr>
          <w:b/>
        </w:rPr>
        <w:t xml:space="preserve">Faith can grow after doubt. </w:t>
      </w:r>
      <w:r>
        <w:t>Sarah moves from inward laughter to the faith described in Hebrews 11:11.</w:t>
      </w:r>
    </w:p>
    <w:p>
      <w:pPr>
        <w:spacing w:after="20"/>
      </w:pPr>
      <w:r>
        <w:rPr>
          <w:b/>
        </w:rPr>
        <w:t xml:space="preserve">Household faith requires teaching. </w:t>
      </w:r>
      <w:r>
        <w:t>Abraham is known/called so that he may command and instruct his household.</w:t>
      </w:r>
    </w:p>
    <w:p>
      <w:pPr>
        <w:spacing w:after="20"/>
      </w:pPr>
      <w:r>
        <w:rPr>
          <w:b/>
        </w:rPr>
        <w:t xml:space="preserve">Judgment is investigated. </w:t>
      </w:r>
      <w:r>
        <w:t>Sodom’s cry is examined before sentence.</w:t>
      </w:r>
    </w:p>
    <w:p>
      <w:pPr>
        <w:spacing w:after="20"/>
      </w:pPr>
      <w:r>
        <w:rPr>
          <w:b/>
        </w:rPr>
        <w:t xml:space="preserve">Intercession rests on God’s justice. </w:t>
      </w:r>
      <w:r>
        <w:t>Abraham pleads because he trusts the Judge of all the earth.</w:t>
      </w:r>
    </w:p>
    <w:p>
      <w:pPr>
        <w:spacing w:after="20"/>
      </w:pPr>
      <w:r>
        <w:rPr>
          <w:b/>
        </w:rPr>
        <w:t xml:space="preserve">Mercy seeks the righteous remnant. </w:t>
      </w:r>
      <w:r>
        <w:t>The repeated numbers expose how far mercy will go to distinguish the righteous from the wicked.</w:t>
      </w:r>
    </w:p>
    <w:p>
      <w:pPr>
        <w:pStyle w:val="Heading1"/>
        <w:keepNext/>
      </w:pPr>
      <w:r>
        <w:t>EDITORIAL VERIFICATION AND RECOVERED READINGS</w:t>
      </w:r>
    </w:p>
    <w:tbl>
      <w:tblPr>
        <w:tblStyle w:val="TableGrid"/>
        <w:tblW w:type="auto" w:w="0"/>
        <w:jc w:val="center"/>
        <w:tblLayout w:type="fixed"/>
        <w:tblLook w:firstColumn="1" w:firstRow="1" w:lastColumn="0" w:lastRow="0" w:noHBand="0" w:noVBand="1" w:val="04A0"/>
      </w:tblPr>
      <w:tblGrid>
        <w:gridCol w:w="1800"/>
        <w:gridCol w:w="3672"/>
        <w:gridCol w:w="4536"/>
      </w:tblGrid>
      <w:tr>
        <w:tc>
          <w:tcPr>
            <w:tcW w:type="dxa" w:w="3485"/>
            <w:shd w:fill="EAF0F8"/>
          </w:tcPr>
          <w:p>
            <w:r>
              <w:rPr>
                <w:b/>
              </w:rPr>
              <w:t>Location</w:t>
            </w:r>
          </w:p>
        </w:tc>
        <w:tc>
          <w:tcPr>
            <w:tcW w:type="dxa" w:w="3485"/>
            <w:shd w:fill="EAF0F8"/>
          </w:tcPr>
          <w:p>
            <w:r>
              <w:rPr>
                <w:b/>
              </w:rPr>
              <w:t>Checked / corrected reading</w:t>
            </w:r>
          </w:p>
        </w:tc>
        <w:tc>
          <w:tcPr>
            <w:tcW w:type="dxa" w:w="3485"/>
            <w:shd w:fill="EAF0F8"/>
          </w:tcPr>
          <w:p>
            <w:r>
              <w:rPr>
                <w:b/>
              </w:rPr>
              <w:t>Basis</w:t>
            </w:r>
          </w:p>
        </w:tc>
      </w:tr>
      <w:tr>
        <w:tc>
          <w:tcPr>
            <w:tcW w:type="dxa" w:w="1800"/>
            <w:vAlign w:val="top"/>
          </w:tcPr>
          <w:p>
            <w:pPr>
              <w:spacing w:after="0" w:line="240" w:lineRule="auto"/>
            </w:pPr>
            <w:r>
              <w:rPr>
                <w:rFonts w:ascii="Times New Roman" w:hAnsi="Times New Roman"/>
                <w:sz w:val="16"/>
              </w:rPr>
              <w:t>Gen. 18:1</w:t>
            </w:r>
          </w:p>
        </w:tc>
        <w:tc>
          <w:tcPr>
            <w:tcW w:type="dxa" w:w="3672"/>
            <w:vAlign w:val="top"/>
          </w:tcPr>
          <w:p>
            <w:pPr>
              <w:spacing w:after="0" w:line="240" w:lineRule="auto"/>
            </w:pPr>
            <w:r>
              <w:rPr>
                <w:rFonts w:ascii="Times New Roman" w:hAnsi="Times New Roman"/>
                <w:sz w:val="16"/>
              </w:rPr>
              <w:t>oaks/terebinths of Mamre</w:t>
            </w:r>
          </w:p>
        </w:tc>
        <w:tc>
          <w:tcPr>
            <w:tcW w:type="dxa" w:w="4536"/>
            <w:vAlign w:val="top"/>
          </w:tcPr>
          <w:p>
            <w:pPr>
              <w:spacing w:after="0" w:line="240" w:lineRule="auto"/>
            </w:pPr>
            <w:r>
              <w:rPr>
                <w:rFonts w:ascii="Times New Roman" w:hAnsi="Times New Roman"/>
                <w:sz w:val="16"/>
              </w:rPr>
              <w:t>Corrects the explanatory sense of KJV “plains,” as in Gen. 13:18.</w:t>
            </w:r>
          </w:p>
        </w:tc>
      </w:tr>
      <w:tr>
        <w:tc>
          <w:tcPr>
            <w:tcW w:type="dxa" w:w="1800"/>
            <w:vAlign w:val="top"/>
          </w:tcPr>
          <w:p>
            <w:pPr>
              <w:spacing w:after="0" w:line="240" w:lineRule="auto"/>
            </w:pPr>
            <w:r>
              <w:rPr>
                <w:rFonts w:ascii="Times New Roman" w:hAnsi="Times New Roman"/>
                <w:sz w:val="16"/>
              </w:rPr>
              <w:t>Gen. 18:2–5</w:t>
            </w:r>
          </w:p>
        </w:tc>
        <w:tc>
          <w:tcPr>
            <w:tcW w:type="dxa" w:w="3672"/>
            <w:vAlign w:val="top"/>
          </w:tcPr>
          <w:p>
            <w:pPr>
              <w:spacing w:after="0" w:line="240" w:lineRule="auto"/>
            </w:pPr>
            <w:r>
              <w:rPr>
                <w:rFonts w:ascii="Times New Roman" w:hAnsi="Times New Roman"/>
                <w:sz w:val="16"/>
              </w:rPr>
              <w:t>enoshim; Heb. 13:2; Rom. 12:13; 1 Pet. 4:9</w:t>
            </w:r>
          </w:p>
        </w:tc>
        <w:tc>
          <w:tcPr>
            <w:tcW w:type="dxa" w:w="4536"/>
            <w:vAlign w:val="top"/>
          </w:tcPr>
          <w:p>
            <w:pPr>
              <w:spacing w:after="0" w:line="240" w:lineRule="auto"/>
            </w:pPr>
            <w:r>
              <w:rPr>
                <w:rFonts w:ascii="Times New Roman" w:hAnsi="Times New Roman"/>
                <w:sz w:val="16"/>
              </w:rPr>
              <w:t>Recovers the “three men” and hospitality notes.</w:t>
            </w:r>
          </w:p>
        </w:tc>
      </w:tr>
      <w:tr>
        <w:tc>
          <w:tcPr>
            <w:tcW w:type="dxa" w:w="1800"/>
            <w:vAlign w:val="top"/>
          </w:tcPr>
          <w:p>
            <w:pPr>
              <w:spacing w:after="0" w:line="240" w:lineRule="auto"/>
            </w:pPr>
            <w:r>
              <w:rPr>
                <w:rFonts w:ascii="Times New Roman" w:hAnsi="Times New Roman"/>
                <w:sz w:val="16"/>
              </w:rPr>
              <w:t>Gen. 18:6–8</w:t>
            </w:r>
          </w:p>
        </w:tc>
        <w:tc>
          <w:tcPr>
            <w:tcW w:type="dxa" w:w="3672"/>
            <w:vAlign w:val="top"/>
          </w:tcPr>
          <w:p>
            <w:pPr>
              <w:spacing w:after="0" w:line="240" w:lineRule="auto"/>
            </w:pPr>
            <w:r>
              <w:rPr>
                <w:rFonts w:ascii="Times New Roman" w:hAnsi="Times New Roman"/>
                <w:sz w:val="16"/>
              </w:rPr>
              <w:t>seah; uggah; personal service</w:t>
            </w:r>
          </w:p>
        </w:tc>
        <w:tc>
          <w:tcPr>
            <w:tcW w:type="dxa" w:w="4536"/>
            <w:vAlign w:val="top"/>
          </w:tcPr>
          <w:p>
            <w:pPr>
              <w:spacing w:after="0" w:line="240" w:lineRule="auto"/>
            </w:pPr>
            <w:r>
              <w:rPr>
                <w:rFonts w:ascii="Times New Roman" w:hAnsi="Times New Roman"/>
                <w:sz w:val="16"/>
              </w:rPr>
              <w:t>Resolves meal terminology without overclaiming symbolism.</w:t>
            </w:r>
          </w:p>
        </w:tc>
      </w:tr>
      <w:tr>
        <w:tc>
          <w:tcPr>
            <w:tcW w:type="dxa" w:w="1800"/>
            <w:vAlign w:val="top"/>
          </w:tcPr>
          <w:p>
            <w:pPr>
              <w:spacing w:after="0" w:line="240" w:lineRule="auto"/>
            </w:pPr>
            <w:r>
              <w:rPr>
                <w:rFonts w:ascii="Times New Roman" w:hAnsi="Times New Roman"/>
                <w:sz w:val="16"/>
              </w:rPr>
              <w:t>Gen. 18:10–14</w:t>
            </w:r>
          </w:p>
        </w:tc>
        <w:tc>
          <w:tcPr>
            <w:tcW w:type="dxa" w:w="3672"/>
            <w:vAlign w:val="top"/>
          </w:tcPr>
          <w:p>
            <w:pPr>
              <w:spacing w:after="0" w:line="240" w:lineRule="auto"/>
            </w:pPr>
            <w:r>
              <w:rPr>
                <w:rFonts w:ascii="Times New Roman" w:hAnsi="Times New Roman"/>
                <w:sz w:val="16"/>
              </w:rPr>
              <w:t>Rom. 9:7–9; Heb. 11:11; dabar = word/matter</w:t>
            </w:r>
          </w:p>
        </w:tc>
        <w:tc>
          <w:tcPr>
            <w:tcW w:type="dxa" w:w="4536"/>
            <w:vAlign w:val="top"/>
          </w:tcPr>
          <w:p>
            <w:pPr>
              <w:spacing w:after="0" w:line="240" w:lineRule="auto"/>
            </w:pPr>
            <w:r>
              <w:rPr>
                <w:rFonts w:ascii="Times New Roman" w:hAnsi="Times New Roman"/>
                <w:sz w:val="16"/>
              </w:rPr>
              <w:t>Checks the promised-son and “too hard” references.</w:t>
            </w:r>
          </w:p>
        </w:tc>
      </w:tr>
      <w:tr>
        <w:tc>
          <w:tcPr>
            <w:tcW w:type="dxa" w:w="1800"/>
            <w:vAlign w:val="top"/>
          </w:tcPr>
          <w:p>
            <w:pPr>
              <w:spacing w:after="0" w:line="240" w:lineRule="auto"/>
            </w:pPr>
            <w:r>
              <w:rPr>
                <w:rFonts w:ascii="Times New Roman" w:hAnsi="Times New Roman"/>
                <w:sz w:val="16"/>
              </w:rPr>
              <w:t>Gen. 18:12</w:t>
            </w:r>
          </w:p>
        </w:tc>
        <w:tc>
          <w:tcPr>
            <w:tcW w:type="dxa" w:w="3672"/>
            <w:vAlign w:val="top"/>
          </w:tcPr>
          <w:p>
            <w:pPr>
              <w:spacing w:after="0" w:line="240" w:lineRule="auto"/>
            </w:pPr>
            <w:r>
              <w:rPr>
                <w:rFonts w:ascii="Times New Roman" w:hAnsi="Times New Roman"/>
                <w:sz w:val="16"/>
              </w:rPr>
              <w:t>adon; 1 Pet. 3:4–6</w:t>
            </w:r>
          </w:p>
        </w:tc>
        <w:tc>
          <w:tcPr>
            <w:tcW w:type="dxa" w:w="4536"/>
            <w:vAlign w:val="top"/>
          </w:tcPr>
          <w:p>
            <w:pPr>
              <w:spacing w:after="0" w:line="240" w:lineRule="auto"/>
            </w:pPr>
            <w:r>
              <w:rPr>
                <w:rFonts w:ascii="Times New Roman" w:hAnsi="Times New Roman"/>
                <w:sz w:val="16"/>
              </w:rPr>
              <w:t>Checks Sarah’s “my lord” note.</w:t>
            </w:r>
          </w:p>
        </w:tc>
      </w:tr>
      <w:tr>
        <w:tc>
          <w:tcPr>
            <w:tcW w:type="dxa" w:w="1800"/>
            <w:vAlign w:val="top"/>
          </w:tcPr>
          <w:p>
            <w:pPr>
              <w:spacing w:after="0" w:line="240" w:lineRule="auto"/>
            </w:pPr>
            <w:r>
              <w:rPr>
                <w:rFonts w:ascii="Times New Roman" w:hAnsi="Times New Roman"/>
                <w:sz w:val="16"/>
              </w:rPr>
              <w:t>Gen. 18:17–19</w:t>
            </w:r>
          </w:p>
        </w:tc>
        <w:tc>
          <w:tcPr>
            <w:tcW w:type="dxa" w:w="3672"/>
            <w:vAlign w:val="top"/>
          </w:tcPr>
          <w:p>
            <w:pPr>
              <w:spacing w:after="0" w:line="240" w:lineRule="auto"/>
            </w:pPr>
            <w:r>
              <w:rPr>
                <w:rFonts w:ascii="Times New Roman" w:hAnsi="Times New Roman"/>
                <w:sz w:val="16"/>
              </w:rPr>
              <w:t>Jas. 2:23; Amos 3:7; Deut. 6:6–8</w:t>
            </w:r>
          </w:p>
        </w:tc>
        <w:tc>
          <w:tcPr>
            <w:tcW w:type="dxa" w:w="4536"/>
            <w:vAlign w:val="top"/>
          </w:tcPr>
          <w:p>
            <w:pPr>
              <w:spacing w:after="0" w:line="240" w:lineRule="auto"/>
            </w:pPr>
            <w:r>
              <w:rPr>
                <w:rFonts w:ascii="Times New Roman" w:hAnsi="Times New Roman"/>
                <w:sz w:val="16"/>
              </w:rPr>
              <w:t>Checks friendship/disclosure and household-teaching references.</w:t>
            </w:r>
          </w:p>
        </w:tc>
      </w:tr>
      <w:tr>
        <w:tc>
          <w:tcPr>
            <w:tcW w:type="dxa" w:w="1800"/>
            <w:vAlign w:val="top"/>
          </w:tcPr>
          <w:p>
            <w:pPr>
              <w:spacing w:after="0" w:line="240" w:lineRule="auto"/>
            </w:pPr>
            <w:r>
              <w:rPr>
                <w:rFonts w:ascii="Times New Roman" w:hAnsi="Times New Roman"/>
                <w:sz w:val="16"/>
              </w:rPr>
              <w:t>Gen. 18:23–25</w:t>
            </w:r>
          </w:p>
        </w:tc>
        <w:tc>
          <w:tcPr>
            <w:tcW w:type="dxa" w:w="3672"/>
            <w:vAlign w:val="top"/>
          </w:tcPr>
          <w:p>
            <w:pPr>
              <w:spacing w:after="0" w:line="240" w:lineRule="auto"/>
            </w:pPr>
            <w:r>
              <w:rPr>
                <w:rFonts w:ascii="Times New Roman" w:hAnsi="Times New Roman"/>
                <w:sz w:val="16"/>
              </w:rPr>
              <w:t>Judge of all the earth / righteous discrimination</w:t>
            </w:r>
          </w:p>
        </w:tc>
        <w:tc>
          <w:tcPr>
            <w:tcW w:type="dxa" w:w="4536"/>
            <w:vAlign w:val="top"/>
          </w:tcPr>
          <w:p>
            <w:pPr>
              <w:spacing w:after="0" w:line="240" w:lineRule="auto"/>
            </w:pPr>
            <w:r>
              <w:rPr>
                <w:rFonts w:ascii="Times New Roman" w:hAnsi="Times New Roman"/>
                <w:sz w:val="16"/>
              </w:rPr>
              <w:t>Preserves the justice principle as the basis of Abraham’s appeal.</w:t>
            </w:r>
          </w:p>
        </w:tc>
      </w:tr>
      <w:tr>
        <w:tc>
          <w:tcPr>
            <w:tcW w:type="dxa" w:w="1800"/>
            <w:vAlign w:val="top"/>
          </w:tcPr>
          <w:p>
            <w:pPr>
              <w:spacing w:after="0" w:line="240" w:lineRule="auto"/>
            </w:pPr>
            <w:r>
              <w:rPr>
                <w:rFonts w:ascii="Times New Roman" w:hAnsi="Times New Roman"/>
                <w:sz w:val="16"/>
              </w:rPr>
              <w:t>Gen. 18:26–32</w:t>
            </w:r>
          </w:p>
        </w:tc>
        <w:tc>
          <w:tcPr>
            <w:tcW w:type="dxa" w:w="3672"/>
            <w:vAlign w:val="top"/>
          </w:tcPr>
          <w:p>
            <w:pPr>
              <w:spacing w:after="0" w:line="240" w:lineRule="auto"/>
            </w:pPr>
            <w:r>
              <w:rPr>
                <w:rFonts w:ascii="Times New Roman" w:hAnsi="Times New Roman"/>
                <w:sz w:val="16"/>
              </w:rPr>
              <w:t>50,45,40,30,20,10</w:t>
            </w:r>
          </w:p>
        </w:tc>
        <w:tc>
          <w:tcPr>
            <w:tcW w:type="dxa" w:w="4536"/>
            <w:vAlign w:val="top"/>
          </w:tcPr>
          <w:p>
            <w:pPr>
              <w:spacing w:after="0" w:line="240" w:lineRule="auto"/>
            </w:pPr>
            <w:r>
              <w:rPr>
                <w:rFonts w:ascii="Times New Roman" w:hAnsi="Times New Roman"/>
                <w:sz w:val="16"/>
              </w:rPr>
              <w:t>Keeps Mansfield’s number symbolism explicitly labelled as interpretation.</w:t>
            </w:r>
          </w:p>
        </w:tc>
      </w:tr>
    </w:tbl>
    <w:p>
      <w:pPr>
        <w:pStyle w:val="Heading1"/>
        <w:keepNext/>
      </w:pPr>
      <w:r>
        <w:t>RESIDUAL UNCERTAINTIES</w:t>
      </w:r>
    </w:p>
    <w:p>
      <w:pPr>
        <w:ind w:left="230" w:hanging="173"/>
      </w:pPr>
      <w:r>
        <w:t>•  The HPB margin contains additional small notes on enosh/enoshim and angelic rank that cannot be transcribed safely beyond what is confirmed in Mansfield’s published chapter.</w:t>
      </w:r>
    </w:p>
    <w:p>
      <w:pPr>
        <w:ind w:left="230" w:hanging="173"/>
      </w:pPr>
      <w:r>
        <w:t>•  Several number-symbolism references attached to the intercession sequence are too small to verify individually; the numbers themselves and the prayer sequence are certain.</w:t>
      </w:r>
    </w:p>
    <w:p>
      <w:pPr>
        <w:ind w:left="230" w:hanging="173"/>
      </w:pPr>
      <w:r>
        <w:t>•  Some comparisons between Sodom and later judgments are compressed in the handwriting; only clearly checked biblical parallels are retained rather than reconstructing a full reference chain.</w:t>
      </w:r>
    </w:p>
    <w:sectPr w:rsidR="00FC693F" w:rsidRPr="0006063C" w:rsidSect="00034616">
      <w:headerReference w:type="default" r:id="rId9"/>
      <w:footerReference w:type="default" r:id="rId10"/>
      <w:pgSz w:w="12240" w:h="15840"/>
      <w:pgMar w:top="835" w:right="893" w:bottom="835"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sz w:val="17"/>
      </w:rPr>
      <w:t>H. P. MANSFIELD BIBLE NOTES  •  GENESIS 18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Arial" w:hAnsi="Arial"/>
      <w:b/>
      <w:bCs/>
      <w:color w:val="2F67A7"/>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F67A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