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E4267"/>
          <w:sz w:val="44"/>
        </w:rPr>
        <w:t>GENESIS 19</w:t>
      </w:r>
    </w:p>
    <w:p>
      <w:pPr>
        <w:pBdr>
          <w:bottom w:val="single" w:sz="10" w:color="4A86D4"/>
        </w:pBdr>
        <w:spacing w:after="160"/>
      </w:pPr>
    </w:p>
    <w:p>
      <w:pPr>
        <w:jc w:val="center"/>
      </w:pPr>
      <w:r>
        <w:rPr>
          <w:rFonts w:ascii="Arial" w:hAnsi="Arial"/>
          <w:b/>
          <w:i/>
          <w:color w:val="4A86D4"/>
          <w:sz w:val="22"/>
        </w:rPr>
        <w:t>THE LAST NIGHT OF SODOM • ESCAPE BY MERCY • JUDGMENT • THE CAVE</w:t>
      </w:r>
    </w:p>
    <w:p>
      <w:pPr>
        <w:jc w:val="center"/>
      </w:pPr>
      <w:r>
        <w:rPr>
          <w:i/>
          <w:sz w:val="19"/>
        </w:rPr>
        <w:t>H. P. Mansfield Bible notes — checked and arranged in verse-by-verse Expositor style</w:t>
      </w:r>
    </w:p>
    <w:p>
      <w:pPr>
        <w:spacing w:after="160"/>
        <w:jc w:val="center"/>
      </w:pPr>
      <w:r>
        <w:rPr>
          <w:sz w:val="17"/>
        </w:rPr>
        <w:t>Source: HPB 01-Gen01-Gen41.PDF, Genesis 19 photographed pages 64–66</w:t>
      </w:r>
    </w:p>
    <w:p>
      <w:pPr>
        <w:pStyle w:val="Heading1"/>
        <w:keepNext/>
      </w:pPr>
      <w:r>
        <w:t>CHAPTER OVERVIEW</w:t>
      </w:r>
    </w:p>
    <w:p>
      <w:r>
        <w:t>Genesis 19 records the final night and destruction of Sodom, but its moral focus is also Lot. He has progressed from looking toward Sodom to sitting in its gate; his hospitality and righteousness remain, yet his judgment, household influence and willingness to separate have all been damaged by long accommodation to the city.</w:t>
      </w:r>
    </w:p>
    <w:p>
      <w:r>
        <w:t>Deliverance comes because Yahweh is merciful and because God remembers Abraham. Even after escape, however, Sodom’s moral influence survives in Lot’s family, and the chapter closes in the cave with the origins of Moab and Ammon.</w:t>
      </w:r>
    </w:p>
    <w:p>
      <w:pPr>
        <w:pStyle w:val="Heading1"/>
        <w:keepNext/>
      </w:pPr>
      <w:r>
        <w:t>THE LAST TERRIBLE NIGHT — GENESIS 19:1–14</w:t>
      </w:r>
    </w:p>
    <w:p>
      <w:pPr>
        <w:keepNext/>
        <w:spacing w:before="80" w:after="20"/>
      </w:pPr>
      <w:r>
        <w:rPr>
          <w:rFonts w:ascii="Arial" w:hAnsi="Arial"/>
          <w:b/>
          <w:color w:val="2F67A7"/>
          <w:sz w:val="22"/>
        </w:rPr>
        <w:t>Genesis 19:1 — “two angels… Lot sat in the gate of Sodom”</w:t>
      </w:r>
    </w:p>
    <w:p>
      <w:pPr>
        <w:spacing w:after="60" w:line="240" w:lineRule="auto"/>
      </w:pPr>
      <w:r>
        <w:t>The two visitors from Genesis 18 arrive in the evening. Lot is now seated at the gate, the recognised place of civic judgment and public business. Mansfield reads this as the last stage of the decline traced from Genesis 13: strife, beholding, choosing, pitching toward Sodom, dwelling in Sodom, and finally sitting in its gate.</w:t>
      </w:r>
    </w:p>
    <w:p>
      <w:pPr>
        <w:spacing w:after="60" w:line="240" w:lineRule="auto"/>
      </w:pPr>
      <w:r>
        <w:t>2 Peter 2:6–9 nevertheless calls Lot righteous and describes him as vexed by the city’s lawless deeds. The tragedy is therefore not that Lot ceased to know right from wrong, but that he remained embedded in an environment he knew to be corrupt.</w:t>
      </w:r>
    </w:p>
    <w:p>
      <w:pPr>
        <w:keepNext/>
        <w:spacing w:before="80" w:after="20"/>
      </w:pPr>
      <w:r>
        <w:rPr>
          <w:rFonts w:ascii="Arial" w:hAnsi="Arial"/>
          <w:b/>
          <w:color w:val="2F67A7"/>
          <w:sz w:val="22"/>
        </w:rPr>
        <w:t>Genesis 19:2–3 — Lot presses hospitality upon the visitors</w:t>
      </w:r>
    </w:p>
    <w:p>
      <w:pPr>
        <w:spacing w:after="60" w:line="240" w:lineRule="auto"/>
      </w:pPr>
      <w:r>
        <w:t>Like Abraham, Lot offers washing, lodging and food; Hebrews 13:2 is again relevant. The visitors initially propose to remain in the street, but Lot knows the city too well and presses them urgently to enter his house.</w:t>
      </w:r>
    </w:p>
    <w:p>
      <w:pPr>
        <w:spacing w:after="60" w:line="240" w:lineRule="auto"/>
      </w:pPr>
      <w:r>
        <w:t>The unleavened bread may simply reflect speed of preparation; Mansfield also gives it a purity application. That symbolic use is retained as exposition, not made a lexical requirement of the verse.</w:t>
      </w:r>
    </w:p>
    <w:p>
      <w:pPr>
        <w:keepNext/>
        <w:spacing w:before="80" w:after="20"/>
      </w:pPr>
      <w:r>
        <w:rPr>
          <w:rFonts w:ascii="Arial" w:hAnsi="Arial"/>
          <w:b/>
          <w:color w:val="2F67A7"/>
          <w:sz w:val="22"/>
        </w:rPr>
        <w:t>Genesis 19:4–5 — “both old and young… from every quarter”</w:t>
      </w:r>
    </w:p>
    <w:p>
      <w:pPr>
        <w:spacing w:after="60" w:line="240" w:lineRule="auto"/>
      </w:pPr>
      <w:r>
        <w:t>The public character of Sodom’s corruption is emphasised: the house is surrounded by men across ages/classes, demanding sexual access to Lot’s guests. The biblical reference chain is clear: Leviticus 18:22; 20:13; Ezekiel 16:49–50; Jude 7 and 2 Peter 2:6–8 treat Sodom as a warning of grave sexual and social wickedness.</w:t>
      </w:r>
    </w:p>
    <w:p>
      <w:pPr>
        <w:spacing w:after="60" w:line="240" w:lineRule="auto"/>
      </w:pPr>
      <w:r>
        <w:t>Mansfield’s large “Sodom the Example” note also stresses pride, fullness of bread, idleness and shamelessness, not merely one vice. Christ’s comparison is Luke 17:28–30: the days of Lot become a warning concerning complacency before judgment.</w:t>
      </w:r>
    </w:p>
    <w:p>
      <w:pPr>
        <w:keepNext/>
        <w:spacing w:before="80" w:after="20"/>
      </w:pPr>
      <w:r>
        <w:rPr>
          <w:rFonts w:ascii="Arial" w:hAnsi="Arial"/>
          <w:b/>
          <w:color w:val="2F67A7"/>
          <w:sz w:val="22"/>
        </w:rPr>
        <w:t>Genesis 19:6–8 — Lot’s offer of his daughters</w:t>
      </w:r>
    </w:p>
    <w:p>
      <w:pPr>
        <w:spacing w:after="60" w:line="240" w:lineRule="auto"/>
      </w:pPr>
      <w:r>
        <w:t>Lot courageously goes outside and shuts the door behind him to protect his guests. The Hebrew notes distinguish pethach, doorway/opening, from deleth, the door leaf itself.</w:t>
      </w:r>
    </w:p>
    <w:p>
      <w:pPr>
        <w:spacing w:after="60" w:line="240" w:lineRule="auto"/>
      </w:pPr>
      <w:r>
        <w:t>His offer of his daughters cannot be defended as morally right. Mansfield considers whether it could have been rhetorical, but acknowledges that a literal offer would show how deeply Sodomic values had distorted Lot’s judgment. The finished note therefore records the moral problem plainly rather than excusing it through hospitality custom.</w:t>
      </w:r>
    </w:p>
    <w:p>
      <w:pPr>
        <w:keepNext/>
        <w:spacing w:before="80" w:after="20"/>
      </w:pPr>
      <w:r>
        <w:rPr>
          <w:rFonts w:ascii="Arial" w:hAnsi="Arial"/>
          <w:b/>
          <w:color w:val="2F67A7"/>
          <w:sz w:val="22"/>
        </w:rPr>
        <w:t>Genesis 19:9 — “he will needs be a judge”</w:t>
      </w:r>
    </w:p>
    <w:p>
      <w:pPr>
        <w:spacing w:after="60" w:line="240" w:lineRule="auto"/>
      </w:pPr>
      <w:r>
        <w:t>The mob resents the immigrant/sojourner who has presumed to judge them. The reversal is complete: Lot may have hoped to influence Sodom from its gate, but the city now rejects his moral authority and threatens him.</w:t>
      </w:r>
    </w:p>
    <w:p>
      <w:pPr>
        <w:keepNext/>
        <w:spacing w:before="80" w:after="20"/>
      </w:pPr>
      <w:r>
        <w:rPr>
          <w:rFonts w:ascii="Arial" w:hAnsi="Arial"/>
          <w:b/>
          <w:color w:val="2F67A7"/>
          <w:sz w:val="22"/>
        </w:rPr>
        <w:t>Genesis 19:10–11 — the visitors rescue Lot and strike the crowd</w:t>
      </w:r>
    </w:p>
    <w:p>
      <w:pPr>
        <w:spacing w:after="60" w:line="240" w:lineRule="auto"/>
      </w:pPr>
      <w:r>
        <w:t>The angels pull Lot inside and shut the door. Mansfield recovers sanverim for the judgment translated “blindness,” describing dazzlings/confused vision rather than necessarily ordinary permanent blindness. The men continue wearing themselves out trying to find the door, matching a disorienting judgment.</w:t>
      </w:r>
    </w:p>
    <w:p>
      <w:pPr>
        <w:spacing w:after="60" w:line="240" w:lineRule="auto"/>
      </w:pPr>
      <w:r>
        <w:t>The literal physical judgment mirrors the moral blindness already displayed by the city.</w:t>
      </w:r>
    </w:p>
    <w:p>
      <w:pPr>
        <w:keepNext/>
        <w:spacing w:before="80" w:after="20"/>
      </w:pPr>
      <w:r>
        <w:rPr>
          <w:rFonts w:ascii="Arial" w:hAnsi="Arial"/>
          <w:b/>
          <w:color w:val="2F67A7"/>
          <w:sz w:val="22"/>
        </w:rPr>
        <w:t>Genesis 19:12–14 — the warning is treated as mockery</w:t>
      </w:r>
    </w:p>
    <w:p>
      <w:pPr>
        <w:spacing w:after="60" w:line="240" w:lineRule="auto"/>
      </w:pPr>
      <w:r>
        <w:t>Lot is told to gather relatives from the city before destruction. His sons-in-law regard him as one who mocked. Mansfield sees a severe lesson in compromised witness: a life too assimilated to Sodom has made an urgent warning sound unbelievable.</w:t>
      </w:r>
    </w:p>
    <w:p>
      <w:pPr>
        <w:spacing w:after="60" w:line="240" w:lineRule="auto"/>
      </w:pPr>
      <w:r>
        <w:t>2 Peter 3:3–4 supplies Mansfield’s later scoffer parallel. The problem is not that the warning lacks truth but that hearers have no confidence in it.</w:t>
      </w:r>
    </w:p>
    <w:p>
      <w:pPr>
        <w:pStyle w:val="Heading1"/>
        <w:keepNext/>
      </w:pPr>
      <w:r>
        <w:t>ESCAPE IN THE DAWN — GENESIS 19:15–22</w:t>
      </w:r>
    </w:p>
    <w:p>
      <w:pPr>
        <w:keepNext/>
        <w:spacing w:before="80" w:after="20"/>
      </w:pPr>
      <w:r>
        <w:rPr>
          <w:rFonts w:ascii="Arial" w:hAnsi="Arial"/>
          <w:b/>
          <w:color w:val="2F67A7"/>
          <w:sz w:val="22"/>
        </w:rPr>
        <w:t>Genesis 19:15–16 — “while he lingered… Yahweh being merciful unto him”</w:t>
      </w:r>
    </w:p>
    <w:p>
      <w:pPr>
        <w:spacing w:after="60" w:line="240" w:lineRule="auto"/>
      </w:pPr>
      <w:r>
        <w:t>The dawn word is shachar. The angels hurry Lot, his wife and the two daughters who are “found” there. Lot still lingers, perhaps overwhelmed by the loss of relatives and possessions.</w:t>
      </w:r>
    </w:p>
    <w:p>
      <w:pPr>
        <w:spacing w:after="60" w:line="240" w:lineRule="auto"/>
      </w:pPr>
      <w:r>
        <w:t>The recovered mercy word is chemlah: compassion, pity, gentleness. The angels physically take the family by the hand and set them outside. Salvation at this point is not a reward for Lot’s decisiveness; it is mercy overcoming his hesitation.</w:t>
      </w:r>
    </w:p>
    <w:p>
      <w:pPr>
        <w:keepNext/>
        <w:spacing w:before="80" w:after="20"/>
      </w:pPr>
      <w:r>
        <w:rPr>
          <w:rFonts w:ascii="Arial" w:hAnsi="Arial"/>
          <w:b/>
          <w:color w:val="2F67A7"/>
          <w:sz w:val="22"/>
        </w:rPr>
        <w:t>Genesis 19:17 — “escape for thy life; look not behind thee”</w:t>
      </w:r>
    </w:p>
    <w:p>
      <w:pPr>
        <w:spacing w:after="60" w:line="240" w:lineRule="auto"/>
      </w:pPr>
      <w:r>
        <w:t>Four imperatives dominate: escape, do not look behind, do not remain in the kikkar/circuit, and escape to the mountain. Mansfield applies them to decisive separation from a doomed order. Revelation 18:4 supplies the later “come out of her” principle.</w:t>
      </w:r>
    </w:p>
    <w:p>
      <w:pPr>
        <w:keepNext/>
        <w:spacing w:before="80" w:after="20"/>
      </w:pPr>
      <w:r>
        <w:rPr>
          <w:rFonts w:ascii="Arial" w:hAnsi="Arial"/>
          <w:b/>
          <w:color w:val="2F67A7"/>
          <w:sz w:val="22"/>
        </w:rPr>
        <w:t>Genesis 19:18–22 — Lot asks for Zoar</w:t>
      </w:r>
    </w:p>
    <w:p>
      <w:pPr>
        <w:spacing w:after="60" w:line="240" w:lineRule="auto"/>
      </w:pPr>
      <w:r>
        <w:t>Lot remains fearful of the mountain and asks permission to flee instead to the small city of Zoar. Zoar means “little/small” in the narrative’s own wordplay. His request is granted and judgment waits until he has entered.</w:t>
      </w:r>
    </w:p>
    <w:p>
      <w:pPr>
        <w:spacing w:after="60" w:line="240" w:lineRule="auto"/>
      </w:pPr>
      <w:r>
        <w:t>The episode continues the tension in Lot’s character: he believes enough to flee but still negotiates for a refuge that looks safer to him than the one commanded.</w:t>
      </w:r>
    </w:p>
    <w:p>
      <w:pPr>
        <w:pStyle w:val="Heading1"/>
        <w:keepNext/>
      </w:pPr>
      <w:r>
        <w:t>SODOM OVERTHROWN — GENESIS 19:23–29</w:t>
      </w:r>
    </w:p>
    <w:p>
      <w:pPr>
        <w:keepNext/>
        <w:spacing w:before="80" w:after="20"/>
      </w:pPr>
      <w:r>
        <w:rPr>
          <w:rFonts w:ascii="Arial" w:hAnsi="Arial"/>
          <w:b/>
          <w:color w:val="2F67A7"/>
          <w:sz w:val="22"/>
        </w:rPr>
        <w:t>Genesis 19:23–25 — “brimstone and fire from Yahweh out of heaven”</w:t>
      </w:r>
    </w:p>
    <w:p>
      <w:pPr>
        <w:spacing w:after="60" w:line="240" w:lineRule="auto"/>
      </w:pPr>
      <w:r>
        <w:t>The destruction is explicitly Divine judgment. Mansfield’s geological note discusses bitumen/asphalt, sulphur, faulting and combustible deposits in the Dead Sea region as physical features compatible with catastrophe. Those observations are supporting setting only; they do not replace the text’s stated Divine cause.</w:t>
      </w:r>
    </w:p>
    <w:p>
      <w:pPr>
        <w:spacing w:after="60" w:line="240" w:lineRule="auto"/>
      </w:pPr>
      <w:r>
        <w:t>The kikkar—circle/circuit of the cities—is overthrown along with inhabitants and vegetation. What Lot once chose because it looked like a garden has become a scene of judgment.</w:t>
      </w:r>
    </w:p>
    <w:p>
      <w:pPr>
        <w:keepNext/>
        <w:spacing w:before="80" w:after="20"/>
      </w:pPr>
      <w:r>
        <w:rPr>
          <w:rFonts w:ascii="Arial" w:hAnsi="Arial"/>
          <w:b/>
          <w:color w:val="2F67A7"/>
          <w:sz w:val="22"/>
        </w:rPr>
        <w:t>Genesis 19:26 — “his wife looked back”</w:t>
      </w:r>
    </w:p>
    <w:p>
      <w:pPr>
        <w:spacing w:after="60" w:line="240" w:lineRule="auto"/>
      </w:pPr>
      <w:r>
        <w:t>The backward look discloses continuing attachment to the city being abandoned. Christ’s command is direct: “Remember Lot’s wife” (Luke 17:32). The point is not curiosity alone but divided loyalty at the moment decisive separation is required.</w:t>
      </w:r>
    </w:p>
    <w:p>
      <w:pPr>
        <w:spacing w:after="60" w:line="240" w:lineRule="auto"/>
      </w:pPr>
      <w:r>
        <w:t>She becomes a pillar of salt. Mansfield includes later Dead Sea traditions and geological conjecture, but the finished note distinguishes those traditions from the biblical statement itself.</w:t>
      </w:r>
    </w:p>
    <w:p>
      <w:pPr>
        <w:keepNext/>
        <w:spacing w:before="80" w:after="20"/>
      </w:pPr>
      <w:r>
        <w:rPr>
          <w:rFonts w:ascii="Arial" w:hAnsi="Arial"/>
          <w:b/>
          <w:color w:val="2F67A7"/>
          <w:sz w:val="22"/>
        </w:rPr>
        <w:t>Genesis 19:27–29 — “God remembered Abraham, and sent Lot out”</w:t>
      </w:r>
    </w:p>
    <w:p>
      <w:pPr>
        <w:spacing w:after="60" w:line="240" w:lineRule="auto"/>
      </w:pPr>
      <w:r>
        <w:t>Abraham sees the smoke from the place where he had stood before Yahweh. The key explanatory verse is 19:29: Lot’s deliverance is linked with God remembering Abraham, connecting directly back to the intercession of chapter 18.</w:t>
      </w:r>
    </w:p>
    <w:p>
      <w:pPr>
        <w:spacing w:after="60" w:line="240" w:lineRule="auto"/>
      </w:pPr>
      <w:r>
        <w:t>The text therefore combines Lot’s own righteous status (2 Peter 2) with covenantal mercy connected to Abraham. Deliverance is neither accidental nor merely geographical.</w:t>
      </w:r>
    </w:p>
    <w:p>
      <w:pPr>
        <w:pStyle w:val="Heading1"/>
        <w:keepNext/>
      </w:pPr>
      <w:r>
        <w:t>LOT IN THE CAVE — GENESIS 19:30–38</w:t>
      </w:r>
    </w:p>
    <w:p>
      <w:pPr>
        <w:keepNext/>
        <w:spacing w:before="80" w:after="20"/>
      </w:pPr>
      <w:r>
        <w:rPr>
          <w:rFonts w:ascii="Arial" w:hAnsi="Arial"/>
          <w:b/>
          <w:color w:val="2F67A7"/>
          <w:sz w:val="22"/>
        </w:rPr>
        <w:t>Genesis 19:30 — the mountain after all</w:t>
      </w:r>
    </w:p>
    <w:p>
      <w:pPr>
        <w:spacing w:after="60" w:line="240" w:lineRule="auto"/>
      </w:pPr>
      <w:r>
        <w:t>Lot becomes afraid to remain in Zoar and finally goes to the mountain with his daughters—the refuge he had earlier resisted. He now possesses almost nothing of what had motivated his original choice of the Jordan circuit.</w:t>
      </w:r>
    </w:p>
    <w:p>
      <w:pPr>
        <w:keepNext/>
        <w:spacing w:before="80" w:after="20"/>
      </w:pPr>
      <w:r>
        <w:rPr>
          <w:rFonts w:ascii="Arial" w:hAnsi="Arial"/>
          <w:b/>
          <w:color w:val="2F67A7"/>
          <w:sz w:val="22"/>
        </w:rPr>
        <w:t>Genesis 19:31–35 — the daughters’ scheme</w:t>
      </w:r>
    </w:p>
    <w:p>
      <w:pPr>
        <w:spacing w:after="60" w:line="240" w:lineRule="auto"/>
      </w:pPr>
      <w:r>
        <w:t>The daughters reason from an apparently closed future and arrange incest through successive nights of intoxication. Mansfield treats their reasoning as evidence that physical escape from Sodom has not erased the moral patterns learned there.</w:t>
      </w:r>
    </w:p>
    <w:p>
      <w:pPr>
        <w:spacing w:after="60" w:line="240" w:lineRule="auto"/>
      </w:pPr>
      <w:r>
        <w:t>Lot is presented as unaware during the acts. The chapter deliberately ends with a second example of judgment distorted by wine, recalling Noah after the Flood: environmental cleansing cannot itself remove the weakness of flesh.</w:t>
      </w:r>
    </w:p>
    <w:p>
      <w:pPr>
        <w:keepNext/>
        <w:spacing w:before="80" w:after="20"/>
      </w:pPr>
      <w:r>
        <w:rPr>
          <w:rFonts w:ascii="Arial" w:hAnsi="Arial"/>
          <w:b/>
          <w:color w:val="2F67A7"/>
          <w:sz w:val="22"/>
        </w:rPr>
        <w:t>Genesis 19:36–38 — Moab and Ben-ammi</w:t>
      </w:r>
    </w:p>
    <w:p>
      <w:pPr>
        <w:spacing w:after="60" w:line="240" w:lineRule="auto"/>
      </w:pPr>
      <w:r>
        <w:t>Published Mansfield resolves the name notes. Moab carries the idea “from/of my father”; Ben-ammi means “son of my people/kinsman.” Their descendants become Moabites and Ammonites, peoples of continuing importance in the biblical narrative.</w:t>
      </w:r>
    </w:p>
    <w:p>
      <w:pPr>
        <w:spacing w:after="60" w:line="240" w:lineRule="auto"/>
      </w:pPr>
      <w:r>
        <w:t>The names preserve the shameful circumstances of origin rather than disguising them. Scripture’s candour contrasts sharply with heroic ancestral legend.</w:t>
      </w:r>
    </w:p>
    <w:p>
      <w:pPr>
        <w:pStyle w:val="Heading1"/>
        <w:keepNext/>
      </w:pPr>
      <w:r>
        <w:t>PRINCIPAL THEMES</w:t>
      </w:r>
    </w:p>
    <w:p>
      <w:pPr>
        <w:spacing w:after="20"/>
      </w:pPr>
      <w:r>
        <w:rPr>
          <w:b/>
        </w:rPr>
        <w:t xml:space="preserve">Accommodation is progressive. </w:t>
      </w:r>
      <w:r>
        <w:t>Lot’s movement toward Sodom ends with civic involvement in its gate.</w:t>
      </w:r>
    </w:p>
    <w:p>
      <w:pPr>
        <w:spacing w:after="20"/>
      </w:pPr>
      <w:r>
        <w:rPr>
          <w:b/>
        </w:rPr>
        <w:t xml:space="preserve">Righteousness can coexist with compromised judgment. </w:t>
      </w:r>
      <w:r>
        <w:t>2 Peter calls Lot righteous, yet Genesis exposes serious failures.</w:t>
      </w:r>
    </w:p>
    <w:p>
      <w:pPr>
        <w:spacing w:after="20"/>
      </w:pPr>
      <w:r>
        <w:rPr>
          <w:b/>
        </w:rPr>
        <w:t xml:space="preserve">Public corruption brings public judgment. </w:t>
      </w:r>
      <w:r>
        <w:t>Sodom’s wickedness is communal and shameless.</w:t>
      </w:r>
    </w:p>
    <w:p>
      <w:pPr>
        <w:spacing w:after="20"/>
      </w:pPr>
      <w:r>
        <w:rPr>
          <w:b/>
        </w:rPr>
        <w:t xml:space="preserve">Witness can lose credibility. </w:t>
      </w:r>
      <w:r>
        <w:t>Lot’s sons-in-law hear a true warning as a joke.</w:t>
      </w:r>
    </w:p>
    <w:p>
      <w:pPr>
        <w:spacing w:after="20"/>
      </w:pPr>
      <w:r>
        <w:rPr>
          <w:b/>
        </w:rPr>
        <w:t xml:space="preserve">Salvation is merciful. </w:t>
      </w:r>
      <w:r>
        <w:t>Lot lingers; the angels take him by the hand.</w:t>
      </w:r>
    </w:p>
    <w:p>
      <w:pPr>
        <w:spacing w:after="20"/>
      </w:pPr>
      <w:r>
        <w:rPr>
          <w:b/>
        </w:rPr>
        <w:t xml:space="preserve">Separation must be decisive. </w:t>
      </w:r>
      <w:r>
        <w:t>The commands to escape and not look back are central.</w:t>
      </w:r>
    </w:p>
    <w:p>
      <w:pPr>
        <w:spacing w:after="20"/>
      </w:pPr>
      <w:r>
        <w:rPr>
          <w:b/>
        </w:rPr>
        <w:t xml:space="preserve">Intercession matters. </w:t>
      </w:r>
      <w:r>
        <w:t>Genesis 19:29 explicitly connects Lot’s rescue with Abraham.</w:t>
      </w:r>
    </w:p>
    <w:p>
      <w:pPr>
        <w:spacing w:after="20"/>
      </w:pPr>
      <w:r>
        <w:rPr>
          <w:b/>
        </w:rPr>
        <w:t xml:space="preserve">Sodom can remain inside after leaving. </w:t>
      </w:r>
      <w:r>
        <w:t>The cave narrative shows how deeply an environment can shape moral reasoning.</w:t>
      </w:r>
    </w:p>
    <w:p>
      <w:pPr>
        <w:pStyle w:val="Heading1"/>
        <w:keepNext/>
      </w:pPr>
      <w:r>
        <w:t>EDITORIAL VERIFICATION AND RECOVERED READINGS</w:t>
      </w:r>
    </w:p>
    <w:tbl>
      <w:tblPr>
        <w:tblStyle w:val="TableGrid"/>
        <w:tblW w:type="auto" w:w="0"/>
        <w:jc w:val="center"/>
        <w:tblLayout w:type="fixed"/>
        <w:tblLook w:firstColumn="1" w:firstRow="1" w:lastColumn="0" w:lastRow="0" w:noHBand="0" w:noVBand="1" w:val="04A0"/>
      </w:tblPr>
      <w:tblGrid>
        <w:gridCol w:w="1800"/>
        <w:gridCol w:w="3672"/>
        <w:gridCol w:w="4536"/>
      </w:tblGrid>
      <w:tr>
        <w:tc>
          <w:tcPr>
            <w:tcW w:type="dxa" w:w="3485"/>
            <w:shd w:fill="EAF0F8"/>
          </w:tcPr>
          <w:p>
            <w:r>
              <w:rPr>
                <w:b/>
              </w:rPr>
              <w:t>Location</w:t>
            </w:r>
          </w:p>
        </w:tc>
        <w:tc>
          <w:tcPr>
            <w:tcW w:type="dxa" w:w="3485"/>
            <w:shd w:fill="EAF0F8"/>
          </w:tcPr>
          <w:p>
            <w:r>
              <w:rPr>
                <w:b/>
              </w:rPr>
              <w:t>Checked / corrected reading</w:t>
            </w:r>
          </w:p>
        </w:tc>
        <w:tc>
          <w:tcPr>
            <w:tcW w:type="dxa" w:w="3485"/>
            <w:shd w:fill="EAF0F8"/>
          </w:tcPr>
          <w:p>
            <w:r>
              <w:rPr>
                <w:b/>
              </w:rPr>
              <w:t>Basis</w:t>
            </w:r>
          </w:p>
        </w:tc>
      </w:tr>
      <w:tr>
        <w:tc>
          <w:tcPr>
            <w:tcW w:type="dxa" w:w="1800"/>
            <w:vAlign w:val="top"/>
          </w:tcPr>
          <w:p>
            <w:pPr>
              <w:spacing w:after="0" w:line="240" w:lineRule="auto"/>
            </w:pPr>
            <w:r>
              <w:rPr>
                <w:rFonts w:ascii="Times New Roman" w:hAnsi="Times New Roman"/>
                <w:sz w:val="16"/>
              </w:rPr>
              <w:t>Gen. 19:1</w:t>
            </w:r>
          </w:p>
        </w:tc>
        <w:tc>
          <w:tcPr>
            <w:tcW w:type="dxa" w:w="3672"/>
            <w:vAlign w:val="top"/>
          </w:tcPr>
          <w:p>
            <w:pPr>
              <w:spacing w:after="0" w:line="240" w:lineRule="auto"/>
            </w:pPr>
            <w:r>
              <w:rPr>
                <w:rFonts w:ascii="Times New Roman" w:hAnsi="Times New Roman"/>
                <w:sz w:val="16"/>
              </w:rPr>
              <w:t>2 Pet. 2:6–9; Lot in the gate</w:t>
            </w:r>
          </w:p>
        </w:tc>
        <w:tc>
          <w:tcPr>
            <w:tcW w:type="dxa" w:w="4536"/>
            <w:vAlign w:val="top"/>
          </w:tcPr>
          <w:p>
            <w:pPr>
              <w:spacing w:after="0" w:line="240" w:lineRule="auto"/>
            </w:pPr>
            <w:r>
              <w:rPr>
                <w:rFonts w:ascii="Times New Roman" w:hAnsi="Times New Roman"/>
                <w:sz w:val="16"/>
              </w:rPr>
              <w:t>Checks Lot’s righteous yet compromised civic position.</w:t>
            </w:r>
          </w:p>
        </w:tc>
      </w:tr>
      <w:tr>
        <w:tc>
          <w:tcPr>
            <w:tcW w:type="dxa" w:w="1800"/>
            <w:vAlign w:val="top"/>
          </w:tcPr>
          <w:p>
            <w:pPr>
              <w:spacing w:after="0" w:line="240" w:lineRule="auto"/>
            </w:pPr>
            <w:r>
              <w:rPr>
                <w:rFonts w:ascii="Times New Roman" w:hAnsi="Times New Roman"/>
                <w:sz w:val="16"/>
              </w:rPr>
              <w:t>Gen. 19:4–5</w:t>
            </w:r>
          </w:p>
        </w:tc>
        <w:tc>
          <w:tcPr>
            <w:tcW w:type="dxa" w:w="3672"/>
            <w:vAlign w:val="top"/>
          </w:tcPr>
          <w:p>
            <w:pPr>
              <w:spacing w:after="0" w:line="240" w:lineRule="auto"/>
            </w:pPr>
            <w:r>
              <w:rPr>
                <w:rFonts w:ascii="Times New Roman" w:hAnsi="Times New Roman"/>
                <w:sz w:val="16"/>
              </w:rPr>
              <w:t>Lev. 18:22; Ezek. 16:49–50; Jude 7; Luke 17:28–30</w:t>
            </w:r>
          </w:p>
        </w:tc>
        <w:tc>
          <w:tcPr>
            <w:tcW w:type="dxa" w:w="4536"/>
            <w:vAlign w:val="top"/>
          </w:tcPr>
          <w:p>
            <w:pPr>
              <w:spacing w:after="0" w:line="240" w:lineRule="auto"/>
            </w:pPr>
            <w:r>
              <w:rPr>
                <w:rFonts w:ascii="Times New Roman" w:hAnsi="Times New Roman"/>
                <w:sz w:val="16"/>
              </w:rPr>
              <w:t>Corrects the Sodom reference chain to include social and sexual corruption.</w:t>
            </w:r>
          </w:p>
        </w:tc>
      </w:tr>
      <w:tr>
        <w:tc>
          <w:tcPr>
            <w:tcW w:type="dxa" w:w="1800"/>
            <w:vAlign w:val="top"/>
          </w:tcPr>
          <w:p>
            <w:pPr>
              <w:spacing w:after="0" w:line="240" w:lineRule="auto"/>
            </w:pPr>
            <w:r>
              <w:rPr>
                <w:rFonts w:ascii="Times New Roman" w:hAnsi="Times New Roman"/>
                <w:sz w:val="16"/>
              </w:rPr>
              <w:t>Gen. 19:6–11</w:t>
            </w:r>
          </w:p>
        </w:tc>
        <w:tc>
          <w:tcPr>
            <w:tcW w:type="dxa" w:w="3672"/>
            <w:vAlign w:val="top"/>
          </w:tcPr>
          <w:p>
            <w:pPr>
              <w:spacing w:after="0" w:line="240" w:lineRule="auto"/>
            </w:pPr>
            <w:r>
              <w:rPr>
                <w:rFonts w:ascii="Times New Roman" w:hAnsi="Times New Roman"/>
                <w:sz w:val="16"/>
              </w:rPr>
              <w:t>pethach/deleth; sanverim = dazzlings/confused vision</w:t>
            </w:r>
          </w:p>
        </w:tc>
        <w:tc>
          <w:tcPr>
            <w:tcW w:type="dxa" w:w="4536"/>
            <w:vAlign w:val="top"/>
          </w:tcPr>
          <w:p>
            <w:pPr>
              <w:spacing w:after="0" w:line="240" w:lineRule="auto"/>
            </w:pPr>
            <w:r>
              <w:rPr>
                <w:rFonts w:ascii="Times New Roman" w:hAnsi="Times New Roman"/>
                <w:sz w:val="16"/>
              </w:rPr>
              <w:t>Recovers the door/blindness lexical notes.</w:t>
            </w:r>
          </w:p>
        </w:tc>
      </w:tr>
      <w:tr>
        <w:tc>
          <w:tcPr>
            <w:tcW w:type="dxa" w:w="1800"/>
            <w:vAlign w:val="top"/>
          </w:tcPr>
          <w:p>
            <w:pPr>
              <w:spacing w:after="0" w:line="240" w:lineRule="auto"/>
            </w:pPr>
            <w:r>
              <w:rPr>
                <w:rFonts w:ascii="Times New Roman" w:hAnsi="Times New Roman"/>
                <w:sz w:val="16"/>
              </w:rPr>
              <w:t>Gen. 19:15–16</w:t>
            </w:r>
          </w:p>
        </w:tc>
        <w:tc>
          <w:tcPr>
            <w:tcW w:type="dxa" w:w="3672"/>
            <w:vAlign w:val="top"/>
          </w:tcPr>
          <w:p>
            <w:pPr>
              <w:spacing w:after="0" w:line="240" w:lineRule="auto"/>
            </w:pPr>
            <w:r>
              <w:rPr>
                <w:rFonts w:ascii="Times New Roman" w:hAnsi="Times New Roman"/>
                <w:sz w:val="16"/>
              </w:rPr>
              <w:t>shachar = dawn; chemlah = compassion/pity</w:t>
            </w:r>
          </w:p>
        </w:tc>
        <w:tc>
          <w:tcPr>
            <w:tcW w:type="dxa" w:w="4536"/>
            <w:vAlign w:val="top"/>
          </w:tcPr>
          <w:p>
            <w:pPr>
              <w:spacing w:after="0" w:line="240" w:lineRule="auto"/>
            </w:pPr>
            <w:r>
              <w:rPr>
                <w:rFonts w:ascii="Times New Roman" w:hAnsi="Times New Roman"/>
                <w:sz w:val="16"/>
              </w:rPr>
              <w:t>Resolves the mercy note around Lot’s lingering.</w:t>
            </w:r>
          </w:p>
        </w:tc>
      </w:tr>
      <w:tr>
        <w:tc>
          <w:tcPr>
            <w:tcW w:type="dxa" w:w="1800"/>
            <w:vAlign w:val="top"/>
          </w:tcPr>
          <w:p>
            <w:pPr>
              <w:spacing w:after="0" w:line="240" w:lineRule="auto"/>
            </w:pPr>
            <w:r>
              <w:rPr>
                <w:rFonts w:ascii="Times New Roman" w:hAnsi="Times New Roman"/>
                <w:sz w:val="16"/>
              </w:rPr>
              <w:t>Gen. 19:17</w:t>
            </w:r>
          </w:p>
        </w:tc>
        <w:tc>
          <w:tcPr>
            <w:tcW w:type="dxa" w:w="3672"/>
            <w:vAlign w:val="top"/>
          </w:tcPr>
          <w:p>
            <w:pPr>
              <w:spacing w:after="0" w:line="240" w:lineRule="auto"/>
            </w:pPr>
            <w:r>
              <w:rPr>
                <w:rFonts w:ascii="Times New Roman" w:hAnsi="Times New Roman"/>
                <w:sz w:val="16"/>
              </w:rPr>
              <w:t>kikkar = circuit; Rev. 18:4</w:t>
            </w:r>
          </w:p>
        </w:tc>
        <w:tc>
          <w:tcPr>
            <w:tcW w:type="dxa" w:w="4536"/>
            <w:vAlign w:val="top"/>
          </w:tcPr>
          <w:p>
            <w:pPr>
              <w:spacing w:after="0" w:line="240" w:lineRule="auto"/>
            </w:pPr>
            <w:r>
              <w:rPr>
                <w:rFonts w:ascii="Times New Roman" w:hAnsi="Times New Roman"/>
                <w:sz w:val="16"/>
              </w:rPr>
              <w:t>Checks the separation application.</w:t>
            </w:r>
          </w:p>
        </w:tc>
      </w:tr>
      <w:tr>
        <w:tc>
          <w:tcPr>
            <w:tcW w:type="dxa" w:w="1800"/>
            <w:vAlign w:val="top"/>
          </w:tcPr>
          <w:p>
            <w:pPr>
              <w:spacing w:after="0" w:line="240" w:lineRule="auto"/>
            </w:pPr>
            <w:r>
              <w:rPr>
                <w:rFonts w:ascii="Times New Roman" w:hAnsi="Times New Roman"/>
                <w:sz w:val="16"/>
              </w:rPr>
              <w:t>Gen. 19:26</w:t>
            </w:r>
          </w:p>
        </w:tc>
        <w:tc>
          <w:tcPr>
            <w:tcW w:type="dxa" w:w="3672"/>
            <w:vAlign w:val="top"/>
          </w:tcPr>
          <w:p>
            <w:pPr>
              <w:spacing w:after="0" w:line="240" w:lineRule="auto"/>
            </w:pPr>
            <w:r>
              <w:rPr>
                <w:rFonts w:ascii="Times New Roman" w:hAnsi="Times New Roman"/>
                <w:sz w:val="16"/>
              </w:rPr>
              <w:t>Luke 17:32</w:t>
            </w:r>
          </w:p>
        </w:tc>
        <w:tc>
          <w:tcPr>
            <w:tcW w:type="dxa" w:w="4536"/>
            <w:vAlign w:val="top"/>
          </w:tcPr>
          <w:p>
            <w:pPr>
              <w:spacing w:after="0" w:line="240" w:lineRule="auto"/>
            </w:pPr>
            <w:r>
              <w:rPr>
                <w:rFonts w:ascii="Times New Roman" w:hAnsi="Times New Roman"/>
                <w:sz w:val="16"/>
              </w:rPr>
              <w:t>Confirms Christ’s explicit “Remember Lot’s wife” warning.</w:t>
            </w:r>
          </w:p>
        </w:tc>
      </w:tr>
      <w:tr>
        <w:tc>
          <w:tcPr>
            <w:tcW w:type="dxa" w:w="1800"/>
            <w:vAlign w:val="top"/>
          </w:tcPr>
          <w:p>
            <w:pPr>
              <w:spacing w:after="0" w:line="240" w:lineRule="auto"/>
            </w:pPr>
            <w:r>
              <w:rPr>
                <w:rFonts w:ascii="Times New Roman" w:hAnsi="Times New Roman"/>
                <w:sz w:val="16"/>
              </w:rPr>
              <w:t>Gen. 19:29</w:t>
            </w:r>
          </w:p>
        </w:tc>
        <w:tc>
          <w:tcPr>
            <w:tcW w:type="dxa" w:w="3672"/>
            <w:vAlign w:val="top"/>
          </w:tcPr>
          <w:p>
            <w:pPr>
              <w:spacing w:after="0" w:line="240" w:lineRule="auto"/>
            </w:pPr>
            <w:r>
              <w:rPr>
                <w:rFonts w:ascii="Times New Roman" w:hAnsi="Times New Roman"/>
                <w:sz w:val="16"/>
              </w:rPr>
              <w:t>God remembered Abraham</w:t>
            </w:r>
          </w:p>
        </w:tc>
        <w:tc>
          <w:tcPr>
            <w:tcW w:type="dxa" w:w="4536"/>
            <w:vAlign w:val="top"/>
          </w:tcPr>
          <w:p>
            <w:pPr>
              <w:spacing w:after="0" w:line="240" w:lineRule="auto"/>
            </w:pPr>
            <w:r>
              <w:rPr>
                <w:rFonts w:ascii="Times New Roman" w:hAnsi="Times New Roman"/>
                <w:sz w:val="16"/>
              </w:rPr>
              <w:t>Connects Lot’s deliverance with the previous intercession.</w:t>
            </w:r>
          </w:p>
        </w:tc>
      </w:tr>
      <w:tr>
        <w:tc>
          <w:tcPr>
            <w:tcW w:type="dxa" w:w="1800"/>
            <w:vAlign w:val="top"/>
          </w:tcPr>
          <w:p>
            <w:pPr>
              <w:spacing w:after="0" w:line="240" w:lineRule="auto"/>
            </w:pPr>
            <w:r>
              <w:rPr>
                <w:rFonts w:ascii="Times New Roman" w:hAnsi="Times New Roman"/>
                <w:sz w:val="16"/>
              </w:rPr>
              <w:t>Gen. 19:37–38</w:t>
            </w:r>
          </w:p>
        </w:tc>
        <w:tc>
          <w:tcPr>
            <w:tcW w:type="dxa" w:w="3672"/>
            <w:vAlign w:val="top"/>
          </w:tcPr>
          <w:p>
            <w:pPr>
              <w:spacing w:after="0" w:line="240" w:lineRule="auto"/>
            </w:pPr>
            <w:r>
              <w:rPr>
                <w:rFonts w:ascii="Times New Roman" w:hAnsi="Times New Roman"/>
                <w:sz w:val="16"/>
              </w:rPr>
              <w:t>Moab = from/of my father; Ben-ammi = son of my people/kinsman</w:t>
            </w:r>
          </w:p>
        </w:tc>
        <w:tc>
          <w:tcPr>
            <w:tcW w:type="dxa" w:w="4536"/>
            <w:vAlign w:val="top"/>
          </w:tcPr>
          <w:p>
            <w:pPr>
              <w:spacing w:after="0" w:line="240" w:lineRule="auto"/>
            </w:pPr>
            <w:r>
              <w:rPr>
                <w:rFonts w:ascii="Times New Roman" w:hAnsi="Times New Roman"/>
                <w:sz w:val="16"/>
              </w:rPr>
              <w:t>Resolves the uncertain name etymologies.</w:t>
            </w:r>
          </w:p>
        </w:tc>
      </w:tr>
    </w:tbl>
    <w:p>
      <w:pPr>
        <w:pStyle w:val="Heading1"/>
        <w:keepNext/>
      </w:pPr>
      <w:r>
        <w:t>RESIDUAL UNCERTAINTIES</w:t>
      </w:r>
    </w:p>
    <w:p>
      <w:pPr>
        <w:ind w:left="230" w:hanging="173"/>
      </w:pPr>
      <w:r>
        <w:t>•  The HPB “Sodom the Example” box contains additional tiny references; only those verified from Mansfield’s published chapter have been retained.</w:t>
      </w:r>
    </w:p>
    <w:p>
      <w:pPr>
        <w:ind w:left="230" w:hanging="173"/>
      </w:pPr>
      <w:r>
        <w:t>•  The detailed geological mechanism in “The Calamity” note is not reconstructed beyond identifiable bitumen/sulphur/fault observations. Geological compatibility is kept separate from the text’s assertion of Divine judgment.</w:t>
      </w:r>
    </w:p>
    <w:p>
      <w:pPr>
        <w:ind w:left="230" w:hanging="173"/>
      </w:pPr>
      <w:r>
        <w:t>•  Some later historical applications of Moab and Ammon in the photographed margin are too compressed to transcribe safely and are deferred to the chapters where those peoples reappear.</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7"/>
      </w:rPr>
      <w:t>H. P. MANSFIELD BIBLE NOTES  •  GENESIS 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F67A7"/>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67A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