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E4267"/>
          <w:sz w:val="44"/>
        </w:rPr>
        <w:t>GENESIS 20</w:t>
      </w:r>
    </w:p>
    <w:p>
      <w:pPr>
        <w:pBdr>
          <w:bottom w:val="single" w:sz="10" w:color="4A86D4"/>
        </w:pBdr>
        <w:spacing w:after="160"/>
      </w:pPr>
    </w:p>
    <w:p>
      <w:pPr>
        <w:jc w:val="center"/>
      </w:pPr>
      <w:r>
        <w:rPr>
          <w:rFonts w:ascii="Arial" w:hAnsi="Arial"/>
          <w:b/>
          <w:i/>
          <w:color w:val="4A86D4"/>
          <w:sz w:val="22"/>
        </w:rPr>
        <w:t>ABRAHAM’S OLD WEAKNESS • ABIMELECH WARNED • RESTITUTION • INTERCESSION</w:t>
      </w:r>
    </w:p>
    <w:p>
      <w:pPr>
        <w:jc w:val="center"/>
      </w:pPr>
      <w:r>
        <w:rPr>
          <w:i/>
          <w:sz w:val="19"/>
        </w:rPr>
        <w:t>H. P. Mansfield Bible notes — checked and arranged in verse-by-verse Expositor style</w:t>
      </w:r>
    </w:p>
    <w:p>
      <w:pPr>
        <w:spacing w:after="160"/>
        <w:jc w:val="center"/>
      </w:pPr>
      <w:r>
        <w:rPr>
          <w:sz w:val="17"/>
        </w:rPr>
        <w:t>Source: HPB 01-Gen01-Gen41.PDF, Genesis 20 photographed pages 66–67</w:t>
      </w:r>
    </w:p>
    <w:p>
      <w:pPr>
        <w:pStyle w:val="Heading1"/>
        <w:keepNext/>
      </w:pPr>
      <w:r>
        <w:t>CHAPTER OVERVIEW</w:t>
      </w:r>
    </w:p>
    <w:p>
      <w:r>
        <w:t>Genesis 20 deliberately repeats the weakness first exposed in Egypt: Abraham again represents Sarah as his sister because of fear. The danger is especially acute now that Sarah is immediately connected with the promised birth of Isaac.</w:t>
      </w:r>
    </w:p>
    <w:p>
      <w:r>
        <w:t>Yet the chapter also displays the protecting covenant purpose of Genesis 12:3. God prevents Abimelech from sinning against Sarah, identifies Abraham as His prophet, requires restitution, and finally uses Abraham’s prayer to bring healing.</w:t>
      </w:r>
    </w:p>
    <w:p>
      <w:pPr>
        <w:pStyle w:val="Heading1"/>
        <w:keepNext/>
      </w:pPr>
      <w:r>
        <w:t>ABIMELECH TAKES SARAH — GENESIS 20:1–2</w:t>
      </w:r>
    </w:p>
    <w:p>
      <w:pPr>
        <w:keepNext/>
        <w:spacing w:before="80" w:after="20"/>
      </w:pPr>
      <w:r>
        <w:rPr>
          <w:rFonts w:ascii="Arial" w:hAnsi="Arial"/>
          <w:b/>
          <w:color w:val="2F67A7"/>
          <w:sz w:val="22"/>
        </w:rPr>
        <w:t>Genesis 20:1 — Abraham sojourns in Gerar</w:t>
      </w:r>
    </w:p>
    <w:p>
      <w:pPr>
        <w:spacing w:after="60" w:line="240" w:lineRule="auto"/>
      </w:pPr>
      <w:r>
        <w:t>Abraham moves southward between Kadesh and Shur and sojourns in Gerar. Mansfield identifies the Negev as dry country and treats the move as the setting in which the old fear returns. Gerar lies in Philistine territory and becomes important again in Genesis 21 and 26.</w:t>
      </w:r>
    </w:p>
    <w:p>
      <w:pPr>
        <w:keepNext/>
        <w:spacing w:before="80" w:after="20"/>
      </w:pPr>
      <w:r>
        <w:rPr>
          <w:rFonts w:ascii="Arial" w:hAnsi="Arial"/>
          <w:b/>
          <w:color w:val="2F67A7"/>
          <w:sz w:val="22"/>
        </w:rPr>
        <w:t>Genesis 20:2 — “She is my sister”</w:t>
      </w:r>
    </w:p>
    <w:p>
      <w:pPr>
        <w:spacing w:after="60" w:line="240" w:lineRule="auto"/>
      </w:pPr>
      <w:r>
        <w:t>Abraham repeats the statement used in Genesis 12:13. It is technically grounded in Sarah being his half-sister (verse 12), but its intended effect is deceptive: Abimelech is led to believe she is available to be taken.</w:t>
      </w:r>
    </w:p>
    <w:p>
      <w:pPr>
        <w:spacing w:after="60" w:line="240" w:lineRule="auto"/>
      </w:pPr>
      <w:r>
        <w:t>Mansfield stresses the gravity of recurrence. Twenty years and major experiences of faith have not made Abraham incapable of repeating an old weakness. Spiritual maturity does not remove the need for vigilance.</w:t>
      </w:r>
    </w:p>
    <w:p>
      <w:pPr>
        <w:pStyle w:val="Heading1"/>
        <w:keepNext/>
      </w:pPr>
      <w:r>
        <w:t>ABIMELECH WARNED — GENESIS 20:3–8</w:t>
      </w:r>
    </w:p>
    <w:p>
      <w:pPr>
        <w:keepNext/>
        <w:spacing w:before="80" w:after="20"/>
      </w:pPr>
      <w:r>
        <w:rPr>
          <w:rFonts w:ascii="Arial" w:hAnsi="Arial"/>
          <w:b/>
          <w:color w:val="2F67A7"/>
          <w:sz w:val="22"/>
        </w:rPr>
        <w:t>Genesis 20:3 — “thou art but a dead man… she is a man’s wife”</w:t>
      </w:r>
    </w:p>
    <w:p>
      <w:pPr>
        <w:spacing w:after="60" w:line="240" w:lineRule="auto"/>
      </w:pPr>
      <w:r>
        <w:t>God comes to Abimelech in a night dream and gives an uncompromising warning. Mansfield notes that the wording for Sarah as a married woman involves baal—the idea that she belongs in a husband-wife relationship, not merely that she is an unattached “sister.”</w:t>
      </w:r>
    </w:p>
    <w:p>
      <w:pPr>
        <w:keepNext/>
        <w:spacing w:before="80" w:after="20"/>
      </w:pPr>
      <w:r>
        <w:rPr>
          <w:rFonts w:ascii="Arial" w:hAnsi="Arial"/>
          <w:b/>
          <w:color w:val="2F67A7"/>
          <w:sz w:val="22"/>
        </w:rPr>
        <w:t>Genesis 20:4–5 — Abimelech pleads integrity</w:t>
      </w:r>
    </w:p>
    <w:p>
      <w:pPr>
        <w:spacing w:after="60" w:line="240" w:lineRule="auto"/>
      </w:pPr>
      <w:r>
        <w:t>Abimelech has not approached Sarah and appeals to what Abraham and Sarah themselves told him. “Righteous nation” is relative to this particular charge, not a declaration that Gerar is morally righteous in the absolute sense (compare Romans 3:10).</w:t>
      </w:r>
    </w:p>
    <w:p>
      <w:pPr>
        <w:spacing w:after="60" w:line="240" w:lineRule="auto"/>
      </w:pPr>
      <w:r>
        <w:t>The narrative intentionally places the Gentile king, at this point, in the embarrassing position of speaking more straightforwardly than the patriarch.</w:t>
      </w:r>
    </w:p>
    <w:p>
      <w:pPr>
        <w:keepNext/>
        <w:spacing w:before="80" w:after="20"/>
      </w:pPr>
      <w:r>
        <w:rPr>
          <w:rFonts w:ascii="Arial" w:hAnsi="Arial"/>
          <w:b/>
          <w:color w:val="2F67A7"/>
          <w:sz w:val="22"/>
        </w:rPr>
        <w:t>Genesis 20:6 — “I also withheld thee from sinning against me”</w:t>
      </w:r>
    </w:p>
    <w:p>
      <w:pPr>
        <w:spacing w:after="60" w:line="240" w:lineRule="auto"/>
      </w:pPr>
      <w:r>
        <w:t>God acknowledges the integrity of Abimelech’s intention while making clear that touching Sarah would still have been sin against God. Mansfield compares Psalm 51:4 for the principle that wrongdoing against people is ultimately accountability to God.</w:t>
      </w:r>
    </w:p>
    <w:p>
      <w:pPr>
        <w:spacing w:after="60" w:line="240" w:lineRule="auto"/>
      </w:pPr>
      <w:r>
        <w:t>Divine providence actively prevents the offence. Psalm 105:13–15 later summarises God’s protection of the patriarchs: He reproved kings for their sakes and protected His prophets.</w:t>
      </w:r>
    </w:p>
    <w:p>
      <w:pPr>
        <w:keepNext/>
        <w:spacing w:before="80" w:after="20"/>
      </w:pPr>
      <w:r>
        <w:rPr>
          <w:rFonts w:ascii="Arial" w:hAnsi="Arial"/>
          <w:b/>
          <w:color w:val="2F67A7"/>
          <w:sz w:val="22"/>
        </w:rPr>
        <w:t>Genesis 20:7 — “he is a prophet, and he shall pray for thee”</w:t>
      </w:r>
    </w:p>
    <w:p>
      <w:pPr>
        <w:spacing w:after="60" w:line="240" w:lineRule="auto"/>
      </w:pPr>
      <w:r>
        <w:t>This is the first biblical occurrence of the noun “prophet.” Mansfield explains the prophet as God’s mouthpiece/instructor, comparing Exodus 4:15–16. The striking point is that Abraham’s failure has not cancelled his calling.</w:t>
      </w:r>
    </w:p>
    <w:p>
      <w:pPr>
        <w:spacing w:after="60" w:line="240" w:lineRule="auto"/>
      </w:pPr>
      <w:r>
        <w:t>Abimelech’s restoration is linked to Abraham’s intercession. Job 42:8–10 supplies a later parallel: the one who has stood within God’s purpose prays for those who have acted wrongly toward him.</w:t>
      </w:r>
    </w:p>
    <w:p>
      <w:pPr>
        <w:keepNext/>
        <w:spacing w:before="80" w:after="20"/>
      </w:pPr>
      <w:r>
        <w:rPr>
          <w:rFonts w:ascii="Arial" w:hAnsi="Arial"/>
          <w:b/>
          <w:color w:val="2F67A7"/>
          <w:sz w:val="22"/>
        </w:rPr>
        <w:t>Genesis 20:8 — immediate response</w:t>
      </w:r>
    </w:p>
    <w:p>
      <w:pPr>
        <w:spacing w:after="60" w:line="240" w:lineRule="auto"/>
      </w:pPr>
      <w:r>
        <w:t>Abimelech rises early, informs his servants and acts upon the warning. His fear is responsive rather than paralysing. Mansfield contrasts this with Abraham’s earlier fear of man, which produced concealment.</w:t>
      </w:r>
    </w:p>
    <w:p>
      <w:pPr>
        <w:pStyle w:val="Heading1"/>
        <w:keepNext/>
      </w:pPr>
      <w:r>
        <w:t>ABRAHAM REPROVED — GENESIS 20:9–13</w:t>
      </w:r>
    </w:p>
    <w:p>
      <w:pPr>
        <w:keepNext/>
        <w:spacing w:before="80" w:after="20"/>
      </w:pPr>
      <w:r>
        <w:rPr>
          <w:rFonts w:ascii="Arial" w:hAnsi="Arial"/>
          <w:b/>
          <w:color w:val="2F67A7"/>
          <w:sz w:val="22"/>
        </w:rPr>
        <w:t>Genesis 20:9–10 — “What hast thou done unto us?”</w:t>
      </w:r>
    </w:p>
    <w:p>
      <w:pPr>
        <w:spacing w:after="60" w:line="240" w:lineRule="auto"/>
      </w:pPr>
      <w:r>
        <w:t>Abimelech summons Abraham and reproves him for creating danger through deception. Mansfield notes the humiliation of a faithful man being justly rebuked by an outsider, comparing the similar rebuke by Pharaoh in Genesis 12:18–19.</w:t>
      </w:r>
    </w:p>
    <w:p>
      <w:pPr>
        <w:spacing w:after="60" w:line="240" w:lineRule="auto"/>
      </w:pPr>
      <w:r>
        <w:t>Abimelech himself is not presented as faultless—the custom of taking women into a royal harem is not endorsed—but Abraham cannot use the king’s faults to excuse his own.</w:t>
      </w:r>
    </w:p>
    <w:p>
      <w:pPr>
        <w:keepNext/>
        <w:spacing w:before="80" w:after="20"/>
      </w:pPr>
      <w:r>
        <w:rPr>
          <w:rFonts w:ascii="Arial" w:hAnsi="Arial"/>
          <w:b/>
          <w:color w:val="2F67A7"/>
          <w:sz w:val="22"/>
        </w:rPr>
        <w:t>Genesis 20:11 — “Surely the fear of God is not in this place”</w:t>
      </w:r>
    </w:p>
    <w:p>
      <w:pPr>
        <w:spacing w:after="60" w:line="240" w:lineRule="auto"/>
      </w:pPr>
      <w:r>
        <w:t>Abraham explains his fear that he would be killed for Sarah. The irony is central: he judges that others lack fear of God, yet his own fear of man drives him into wrongdoing. The relevant proverb is Proverbs 29:25, “The fear of man bringeth a snare.” Mansfield’s supporting text once misprinted another Proverbs reference in this discussion; the correct fear-of-man text is Proverbs 29:25.</w:t>
      </w:r>
    </w:p>
    <w:p>
      <w:pPr>
        <w:keepNext/>
        <w:spacing w:before="80" w:after="20"/>
      </w:pPr>
      <w:r>
        <w:rPr>
          <w:rFonts w:ascii="Arial" w:hAnsi="Arial"/>
          <w:b/>
          <w:color w:val="2F67A7"/>
          <w:sz w:val="22"/>
        </w:rPr>
        <w:t>Genesis 20:12 — the half-truth</w:t>
      </w:r>
    </w:p>
    <w:p>
      <w:pPr>
        <w:spacing w:after="60" w:line="240" w:lineRule="auto"/>
      </w:pPr>
      <w:r>
        <w:t>Sarah is indeed Abraham’s half-sister: daughter of his father but not of his mother. The statement therefore contains factual truth but is deployed to conceal the more important truth that she is his wife. Mansfield uses the incident to show that technical accuracy does not make a deliberately misleading statement honest.</w:t>
      </w:r>
    </w:p>
    <w:p>
      <w:pPr>
        <w:keepNext/>
        <w:spacing w:before="80" w:after="20"/>
      </w:pPr>
      <w:r>
        <w:rPr>
          <w:rFonts w:ascii="Arial" w:hAnsi="Arial"/>
          <w:b/>
          <w:color w:val="2F67A7"/>
          <w:sz w:val="22"/>
        </w:rPr>
        <w:t>Genesis 20:13 — “when God caused me to wander…”</w:t>
      </w:r>
    </w:p>
    <w:p>
      <w:pPr>
        <w:spacing w:after="60" w:line="240" w:lineRule="auto"/>
      </w:pPr>
      <w:r>
        <w:t>Abraham admits that the arrangement was longstanding. Mansfield analyses three excuses—the character of the place, Sarah’s relationship to him, and their prior agreement—and concludes that none reaches the root problem: fear of man rather than trust in El Shaddai.</w:t>
      </w:r>
    </w:p>
    <w:p>
      <w:pPr>
        <w:spacing w:after="60" w:line="240" w:lineRule="auto"/>
      </w:pPr>
      <w:r>
        <w:t>The statement is also important for Sarah: Abraham takes responsibility for initiating the arrangement rather than shifting blame onto her.</w:t>
      </w:r>
    </w:p>
    <w:p>
      <w:pPr>
        <w:pStyle w:val="Heading1"/>
        <w:keepNext/>
      </w:pPr>
      <w:r>
        <w:t>RESTITUTION AND HEALING — GENESIS 20:14–18</w:t>
      </w:r>
    </w:p>
    <w:p>
      <w:pPr>
        <w:keepNext/>
        <w:spacing w:before="80" w:after="20"/>
      </w:pPr>
      <w:r>
        <w:rPr>
          <w:rFonts w:ascii="Arial" w:hAnsi="Arial"/>
          <w:b/>
          <w:color w:val="2F67A7"/>
          <w:sz w:val="22"/>
        </w:rPr>
        <w:t>Genesis 20:14–15 — Sarah restored</w:t>
      </w:r>
    </w:p>
    <w:p>
      <w:pPr>
        <w:spacing w:after="60" w:line="240" w:lineRule="auto"/>
      </w:pPr>
      <w:r>
        <w:t>Abimelech restores Sarah and gives sheep, oxen, servants and freedom to dwell in the land. His restitution is more generous than Pharaoh’s response in Genesis 12, where Abraham was hurried away. Genesis 21:22 later shows Abimelech recognising that God is with Abraham.</w:t>
      </w:r>
    </w:p>
    <w:p>
      <w:pPr>
        <w:keepNext/>
        <w:spacing w:before="80" w:after="20"/>
      </w:pPr>
      <w:r>
        <w:rPr>
          <w:rFonts w:ascii="Arial" w:hAnsi="Arial"/>
          <w:b/>
          <w:color w:val="2F67A7"/>
          <w:sz w:val="22"/>
        </w:rPr>
        <w:t>Genesis 20:16 — “a covering of the eyes”</w:t>
      </w:r>
    </w:p>
    <w:p>
      <w:pPr>
        <w:spacing w:after="60" w:line="240" w:lineRule="auto"/>
      </w:pPr>
      <w:r>
        <w:t>The previously uncertain idiom is recoverable from Mansfield’s published exposition. A bride’s veil covered the face/eyes (compare Genesis 24:65). Abimelech’s payment and public restoration of Sarah therefore function as vindication of her proper married status before household and strangers.</w:t>
      </w:r>
    </w:p>
    <w:p>
      <w:pPr>
        <w:spacing w:after="60" w:line="240" w:lineRule="auto"/>
      </w:pPr>
      <w:r>
        <w:t>The phrase translated “thus she was reproved” involves Hebrew venokachath from a root associated with making straight/right or proving/justifying. Mansfield notes variant ancient renderings such as “speak the truth” or “thou art justified.” Because the idiom is difficult, the finished note presents the public-vindication sense rather than claiming one English rendering as certain.</w:t>
      </w:r>
    </w:p>
    <w:p>
      <w:pPr>
        <w:keepNext/>
        <w:spacing w:before="80" w:after="20"/>
      </w:pPr>
      <w:r>
        <w:rPr>
          <w:rFonts w:ascii="Arial" w:hAnsi="Arial"/>
          <w:b/>
          <w:color w:val="2F67A7"/>
          <w:sz w:val="22"/>
        </w:rPr>
        <w:t>Genesis 20:17–18 — Abraham prays and God heals</w:t>
      </w:r>
    </w:p>
    <w:p>
      <w:pPr>
        <w:spacing w:after="60" w:line="240" w:lineRule="auto"/>
      </w:pPr>
      <w:r>
        <w:t>Abraham prays, and God heals Abimelech, his wife and maidservants; the wombs that had been closed because of Sarah are reopened. The chapter thus ends with the very man who failed through fear functioning as prophet and intercessor.</w:t>
      </w:r>
    </w:p>
    <w:p>
      <w:pPr>
        <w:spacing w:after="60" w:line="240" w:lineRule="auto"/>
      </w:pPr>
      <w:r>
        <w:t>The sequence is deliberately humbling: Abraham needs Divine protection from the effects of his own deception, while Abimelech needs the prayer of the prophet he has just rebuked. Grace does not erase responsibility; it restores service after failure.</w:t>
      </w:r>
    </w:p>
    <w:p>
      <w:pPr>
        <w:pStyle w:val="Heading1"/>
        <w:keepNext/>
      </w:pPr>
      <w:r>
        <w:t>PRINCIPAL THEMES</w:t>
      </w:r>
    </w:p>
    <w:p>
      <w:pPr>
        <w:spacing w:after="20"/>
      </w:pPr>
      <w:r>
        <w:rPr>
          <w:b/>
        </w:rPr>
        <w:t xml:space="preserve">Old weaknesses can recur. </w:t>
      </w:r>
      <w:r>
        <w:t>Past victory over a sin does not make future vigilance unnecessary.</w:t>
      </w:r>
    </w:p>
    <w:p>
      <w:pPr>
        <w:spacing w:after="20"/>
      </w:pPr>
      <w:r>
        <w:rPr>
          <w:b/>
        </w:rPr>
        <w:t xml:space="preserve">God protects the promise. </w:t>
      </w:r>
      <w:r>
        <w:t>Sarah is preserved when Abraham’s action places the covenant line in danger.</w:t>
      </w:r>
    </w:p>
    <w:p>
      <w:pPr>
        <w:spacing w:after="20"/>
      </w:pPr>
      <w:r>
        <w:rPr>
          <w:b/>
        </w:rPr>
        <w:t xml:space="preserve">A half-truth can be a lie in effect. </w:t>
      </w:r>
      <w:r>
        <w:t>Honesty concerns intended meaning, not merely literal wording.</w:t>
      </w:r>
    </w:p>
    <w:p>
      <w:pPr>
        <w:spacing w:after="20"/>
      </w:pPr>
      <w:r>
        <w:rPr>
          <w:b/>
        </w:rPr>
        <w:t xml:space="preserve">The outsider may rebuke the believer. </w:t>
      </w:r>
      <w:r>
        <w:t>Abimelech exposes Abraham’s inconsistency.</w:t>
      </w:r>
    </w:p>
    <w:p>
      <w:pPr>
        <w:spacing w:after="20"/>
      </w:pPr>
      <w:r>
        <w:rPr>
          <w:b/>
        </w:rPr>
        <w:t xml:space="preserve">Calling survives failure. </w:t>
      </w:r>
      <w:r>
        <w:t>God still names Abraham His prophet.</w:t>
      </w:r>
    </w:p>
    <w:p>
      <w:pPr>
        <w:spacing w:after="20"/>
      </w:pPr>
      <w:r>
        <w:rPr>
          <w:b/>
        </w:rPr>
        <w:t xml:space="preserve">Providence can restrain sin. </w:t>
      </w:r>
      <w:r>
        <w:t>God says He withheld Abimelech from touching Sarah.</w:t>
      </w:r>
    </w:p>
    <w:p>
      <w:pPr>
        <w:spacing w:after="20"/>
      </w:pPr>
      <w:r>
        <w:rPr>
          <w:b/>
        </w:rPr>
        <w:t xml:space="preserve">Restitution restores public standing. </w:t>
      </w:r>
      <w:r>
        <w:t>Sarah’s status is openly vindicated.</w:t>
      </w:r>
    </w:p>
    <w:p>
      <w:pPr>
        <w:spacing w:after="20"/>
      </w:pPr>
      <w:r>
        <w:rPr>
          <w:b/>
        </w:rPr>
        <w:t xml:space="preserve">The restored servant can intercede. </w:t>
      </w:r>
      <w:r>
        <w:t>Abraham ends the chapter praying for the very household his fear endangered.</w:t>
      </w:r>
    </w:p>
    <w:p>
      <w:pPr>
        <w:pStyle w:val="Heading1"/>
        <w:keepNext/>
      </w:pPr>
      <w:r>
        <w:t>EDITORIAL VERIFICATION AND RECOVERED READINGS</w:t>
      </w:r>
    </w:p>
    <w:tbl>
      <w:tblPr>
        <w:tblStyle w:val="TableGrid"/>
        <w:tblW w:type="auto" w:w="0"/>
        <w:jc w:val="center"/>
        <w:tblLayout w:type="fixed"/>
        <w:tblLook w:firstColumn="1" w:firstRow="1" w:lastColumn="0" w:lastRow="0" w:noHBand="0" w:noVBand="1" w:val="04A0"/>
      </w:tblPr>
      <w:tblGrid>
        <w:gridCol w:w="1800"/>
        <w:gridCol w:w="3672"/>
        <w:gridCol w:w="4536"/>
      </w:tblGrid>
      <w:tr>
        <w:tc>
          <w:tcPr>
            <w:tcW w:type="dxa" w:w="3485"/>
            <w:shd w:fill="EAF0F8"/>
          </w:tcPr>
          <w:p>
            <w:r>
              <w:rPr>
                <w:b/>
              </w:rPr>
              <w:t>Location</w:t>
            </w:r>
          </w:p>
        </w:tc>
        <w:tc>
          <w:tcPr>
            <w:tcW w:type="dxa" w:w="3485"/>
            <w:shd w:fill="EAF0F8"/>
          </w:tcPr>
          <w:p>
            <w:r>
              <w:rPr>
                <w:b/>
              </w:rPr>
              <w:t>Checked / corrected reading</w:t>
            </w:r>
          </w:p>
        </w:tc>
        <w:tc>
          <w:tcPr>
            <w:tcW w:type="dxa" w:w="3485"/>
            <w:shd w:fill="EAF0F8"/>
          </w:tcPr>
          <w:p>
            <w:r>
              <w:rPr>
                <w:b/>
              </w:rPr>
              <w:t>Basis</w:t>
            </w:r>
          </w:p>
        </w:tc>
      </w:tr>
      <w:tr>
        <w:tc>
          <w:tcPr>
            <w:tcW w:type="dxa" w:w="1800"/>
            <w:vAlign w:val="top"/>
          </w:tcPr>
          <w:p>
            <w:pPr>
              <w:spacing w:after="0" w:line="240" w:lineRule="auto"/>
            </w:pPr>
            <w:r>
              <w:rPr>
                <w:rFonts w:ascii="Times New Roman" w:hAnsi="Times New Roman"/>
                <w:sz w:val="16"/>
              </w:rPr>
              <w:t>Gen. 20:2</w:t>
            </w:r>
          </w:p>
        </w:tc>
        <w:tc>
          <w:tcPr>
            <w:tcW w:type="dxa" w:w="3672"/>
            <w:vAlign w:val="top"/>
          </w:tcPr>
          <w:p>
            <w:pPr>
              <w:spacing w:after="0" w:line="240" w:lineRule="auto"/>
            </w:pPr>
            <w:r>
              <w:rPr>
                <w:rFonts w:ascii="Times New Roman" w:hAnsi="Times New Roman"/>
                <w:sz w:val="16"/>
              </w:rPr>
              <w:t>Gen. 12:13; Gen. 20:12</w:t>
            </w:r>
          </w:p>
        </w:tc>
        <w:tc>
          <w:tcPr>
            <w:tcW w:type="dxa" w:w="4536"/>
            <w:vAlign w:val="top"/>
          </w:tcPr>
          <w:p>
            <w:pPr>
              <w:spacing w:after="0" w:line="240" w:lineRule="auto"/>
            </w:pPr>
            <w:r>
              <w:rPr>
                <w:rFonts w:ascii="Times New Roman" w:hAnsi="Times New Roman"/>
                <w:sz w:val="16"/>
              </w:rPr>
              <w:t>Checks the repeated half-truth and its factual basis.</w:t>
            </w:r>
          </w:p>
        </w:tc>
      </w:tr>
      <w:tr>
        <w:tc>
          <w:tcPr>
            <w:tcW w:type="dxa" w:w="1800"/>
            <w:vAlign w:val="top"/>
          </w:tcPr>
          <w:p>
            <w:pPr>
              <w:spacing w:after="0" w:line="240" w:lineRule="auto"/>
            </w:pPr>
            <w:r>
              <w:rPr>
                <w:rFonts w:ascii="Times New Roman" w:hAnsi="Times New Roman"/>
                <w:sz w:val="16"/>
              </w:rPr>
              <w:t>Gen. 20:3</w:t>
            </w:r>
          </w:p>
        </w:tc>
        <w:tc>
          <w:tcPr>
            <w:tcW w:type="dxa" w:w="3672"/>
            <w:vAlign w:val="top"/>
          </w:tcPr>
          <w:p>
            <w:pPr>
              <w:spacing w:after="0" w:line="240" w:lineRule="auto"/>
            </w:pPr>
            <w:r>
              <w:rPr>
                <w:rFonts w:ascii="Times New Roman" w:hAnsi="Times New Roman"/>
                <w:sz w:val="16"/>
              </w:rPr>
              <w:t>baal / married-to-a-husband sense</w:t>
            </w:r>
          </w:p>
        </w:tc>
        <w:tc>
          <w:tcPr>
            <w:tcW w:type="dxa" w:w="4536"/>
            <w:vAlign w:val="top"/>
          </w:tcPr>
          <w:p>
            <w:pPr>
              <w:spacing w:after="0" w:line="240" w:lineRule="auto"/>
            </w:pPr>
            <w:r>
              <w:rPr>
                <w:rFonts w:ascii="Times New Roman" w:hAnsi="Times New Roman"/>
                <w:sz w:val="16"/>
              </w:rPr>
              <w:t>Clarifies the severity of the warning.</w:t>
            </w:r>
          </w:p>
        </w:tc>
      </w:tr>
      <w:tr>
        <w:tc>
          <w:tcPr>
            <w:tcW w:type="dxa" w:w="1800"/>
            <w:vAlign w:val="top"/>
          </w:tcPr>
          <w:p>
            <w:pPr>
              <w:spacing w:after="0" w:line="240" w:lineRule="auto"/>
            </w:pPr>
            <w:r>
              <w:rPr>
                <w:rFonts w:ascii="Times New Roman" w:hAnsi="Times New Roman"/>
                <w:sz w:val="16"/>
              </w:rPr>
              <w:t>Gen. 20:6</w:t>
            </w:r>
          </w:p>
        </w:tc>
        <w:tc>
          <w:tcPr>
            <w:tcW w:type="dxa" w:w="3672"/>
            <w:vAlign w:val="top"/>
          </w:tcPr>
          <w:p>
            <w:pPr>
              <w:spacing w:after="0" w:line="240" w:lineRule="auto"/>
            </w:pPr>
            <w:r>
              <w:rPr>
                <w:rFonts w:ascii="Times New Roman" w:hAnsi="Times New Roman"/>
                <w:sz w:val="16"/>
              </w:rPr>
              <w:t>Psa. 51:4; Psa. 105:13–15</w:t>
            </w:r>
          </w:p>
        </w:tc>
        <w:tc>
          <w:tcPr>
            <w:tcW w:type="dxa" w:w="4536"/>
            <w:vAlign w:val="top"/>
          </w:tcPr>
          <w:p>
            <w:pPr>
              <w:spacing w:after="0" w:line="240" w:lineRule="auto"/>
            </w:pPr>
            <w:r>
              <w:rPr>
                <w:rFonts w:ascii="Times New Roman" w:hAnsi="Times New Roman"/>
                <w:sz w:val="16"/>
              </w:rPr>
              <w:t>Checks accountability and covenant-protection references.</w:t>
            </w:r>
          </w:p>
        </w:tc>
      </w:tr>
      <w:tr>
        <w:tc>
          <w:tcPr>
            <w:tcW w:type="dxa" w:w="1800"/>
            <w:vAlign w:val="top"/>
          </w:tcPr>
          <w:p>
            <w:pPr>
              <w:spacing w:after="0" w:line="240" w:lineRule="auto"/>
            </w:pPr>
            <w:r>
              <w:rPr>
                <w:rFonts w:ascii="Times New Roman" w:hAnsi="Times New Roman"/>
                <w:sz w:val="16"/>
              </w:rPr>
              <w:t>Gen. 20:7</w:t>
            </w:r>
          </w:p>
        </w:tc>
        <w:tc>
          <w:tcPr>
            <w:tcW w:type="dxa" w:w="3672"/>
            <w:vAlign w:val="top"/>
          </w:tcPr>
          <w:p>
            <w:pPr>
              <w:spacing w:after="0" w:line="240" w:lineRule="auto"/>
            </w:pPr>
            <w:r>
              <w:rPr>
                <w:rFonts w:ascii="Times New Roman" w:hAnsi="Times New Roman"/>
                <w:sz w:val="16"/>
              </w:rPr>
              <w:t>first “prophet”; Exod. 4:15–16; Job 42:8–10</w:t>
            </w:r>
          </w:p>
        </w:tc>
        <w:tc>
          <w:tcPr>
            <w:tcW w:type="dxa" w:w="4536"/>
            <w:vAlign w:val="top"/>
          </w:tcPr>
          <w:p>
            <w:pPr>
              <w:spacing w:after="0" w:line="240" w:lineRule="auto"/>
            </w:pPr>
            <w:r>
              <w:rPr>
                <w:rFonts w:ascii="Times New Roman" w:hAnsi="Times New Roman"/>
                <w:sz w:val="16"/>
              </w:rPr>
              <w:t>Recovers the prophet/intercessor note.</w:t>
            </w:r>
          </w:p>
        </w:tc>
      </w:tr>
      <w:tr>
        <w:tc>
          <w:tcPr>
            <w:tcW w:type="dxa" w:w="1800"/>
            <w:vAlign w:val="top"/>
          </w:tcPr>
          <w:p>
            <w:pPr>
              <w:spacing w:after="0" w:line="240" w:lineRule="auto"/>
            </w:pPr>
            <w:r>
              <w:rPr>
                <w:rFonts w:ascii="Times New Roman" w:hAnsi="Times New Roman"/>
                <w:sz w:val="16"/>
              </w:rPr>
              <w:t>Gen. 20:11</w:t>
            </w:r>
          </w:p>
        </w:tc>
        <w:tc>
          <w:tcPr>
            <w:tcW w:type="dxa" w:w="3672"/>
            <w:vAlign w:val="top"/>
          </w:tcPr>
          <w:p>
            <w:pPr>
              <w:spacing w:after="0" w:line="240" w:lineRule="auto"/>
            </w:pPr>
            <w:r>
              <w:rPr>
                <w:rFonts w:ascii="Times New Roman" w:hAnsi="Times New Roman"/>
                <w:sz w:val="16"/>
              </w:rPr>
              <w:t>Prov. 29:25</w:t>
            </w:r>
          </w:p>
        </w:tc>
        <w:tc>
          <w:tcPr>
            <w:tcW w:type="dxa" w:w="4536"/>
            <w:vAlign w:val="top"/>
          </w:tcPr>
          <w:p>
            <w:pPr>
              <w:spacing w:after="0" w:line="240" w:lineRule="auto"/>
            </w:pPr>
            <w:r>
              <w:rPr>
                <w:rFonts w:ascii="Times New Roman" w:hAnsi="Times New Roman"/>
                <w:sz w:val="16"/>
              </w:rPr>
              <w:t>Correct fear-of-man reference for Abraham’s explanation.</w:t>
            </w:r>
          </w:p>
        </w:tc>
      </w:tr>
      <w:tr>
        <w:tc>
          <w:tcPr>
            <w:tcW w:type="dxa" w:w="1800"/>
            <w:vAlign w:val="top"/>
          </w:tcPr>
          <w:p>
            <w:pPr>
              <w:spacing w:after="0" w:line="240" w:lineRule="auto"/>
            </w:pPr>
            <w:r>
              <w:rPr>
                <w:rFonts w:ascii="Times New Roman" w:hAnsi="Times New Roman"/>
                <w:sz w:val="16"/>
              </w:rPr>
              <w:t>Gen. 20:16</w:t>
            </w:r>
          </w:p>
        </w:tc>
        <w:tc>
          <w:tcPr>
            <w:tcW w:type="dxa" w:w="3672"/>
            <w:vAlign w:val="top"/>
          </w:tcPr>
          <w:p>
            <w:pPr>
              <w:spacing w:after="0" w:line="240" w:lineRule="auto"/>
            </w:pPr>
            <w:r>
              <w:rPr>
                <w:rFonts w:ascii="Times New Roman" w:hAnsi="Times New Roman"/>
                <w:sz w:val="16"/>
              </w:rPr>
              <w:t>veil/covering; Gen. 24:65; venokachath</w:t>
            </w:r>
          </w:p>
        </w:tc>
        <w:tc>
          <w:tcPr>
            <w:tcW w:type="dxa" w:w="4536"/>
            <w:vAlign w:val="top"/>
          </w:tcPr>
          <w:p>
            <w:pPr>
              <w:spacing w:after="0" w:line="240" w:lineRule="auto"/>
            </w:pPr>
            <w:r>
              <w:rPr>
                <w:rFonts w:ascii="Times New Roman" w:hAnsi="Times New Roman"/>
                <w:sz w:val="16"/>
              </w:rPr>
              <w:t>Resolves the previously uncertain “covering of the eyes” note with caution.</w:t>
            </w:r>
          </w:p>
        </w:tc>
      </w:tr>
      <w:tr>
        <w:tc>
          <w:tcPr>
            <w:tcW w:type="dxa" w:w="1800"/>
            <w:vAlign w:val="top"/>
          </w:tcPr>
          <w:p>
            <w:pPr>
              <w:spacing w:after="0" w:line="240" w:lineRule="auto"/>
            </w:pPr>
            <w:r>
              <w:rPr>
                <w:rFonts w:ascii="Times New Roman" w:hAnsi="Times New Roman"/>
                <w:sz w:val="16"/>
              </w:rPr>
              <w:t>Gen. 20:17–18</w:t>
            </w:r>
          </w:p>
        </w:tc>
        <w:tc>
          <w:tcPr>
            <w:tcW w:type="dxa" w:w="3672"/>
            <w:vAlign w:val="top"/>
          </w:tcPr>
          <w:p>
            <w:pPr>
              <w:spacing w:after="0" w:line="240" w:lineRule="auto"/>
            </w:pPr>
            <w:r>
              <w:rPr>
                <w:rFonts w:ascii="Times New Roman" w:hAnsi="Times New Roman"/>
                <w:sz w:val="16"/>
              </w:rPr>
              <w:t>prayer; closed/opened wombs</w:t>
            </w:r>
          </w:p>
        </w:tc>
        <w:tc>
          <w:tcPr>
            <w:tcW w:type="dxa" w:w="4536"/>
            <w:vAlign w:val="top"/>
          </w:tcPr>
          <w:p>
            <w:pPr>
              <w:spacing w:after="0" w:line="240" w:lineRule="auto"/>
            </w:pPr>
            <w:r>
              <w:rPr>
                <w:rFonts w:ascii="Times New Roman" w:hAnsi="Times New Roman"/>
                <w:sz w:val="16"/>
              </w:rPr>
              <w:t>Confirms healing through Abraham’s intercession.</w:t>
            </w:r>
          </w:p>
        </w:tc>
      </w:tr>
    </w:tbl>
    <w:p>
      <w:pPr>
        <w:pStyle w:val="Heading1"/>
        <w:keepNext/>
      </w:pPr>
      <w:r>
        <w:t>RESIDUAL UNCERTAINTIES</w:t>
      </w:r>
    </w:p>
    <w:p>
      <w:pPr>
        <w:ind w:left="230" w:hanging="173"/>
      </w:pPr>
      <w:r>
        <w:t>•  The “covering of the eyes” clause in Genesis 20:16 is idiomatic and has variant ancient/modern renderings. Mansfield’s public-vindication explanation is recoverable, but no single English paraphrase is presented as lexically exclusive.</w:t>
      </w:r>
    </w:p>
    <w:p>
      <w:pPr>
        <w:ind w:left="230" w:hanging="173"/>
      </w:pPr>
      <w:r>
        <w:t>•  A few tiny references in the handwritten “Abraham’s Excuse” box remain unreadable; the core fear-of-man reference and the three stated excuses have been verified.</w:t>
      </w:r>
    </w:p>
    <w:p>
      <w:pPr>
        <w:ind w:left="230" w:hanging="173"/>
      </w:pPr>
      <w:r>
        <w:t>•  Some historical identifications of Gerar in the supporting exposition are dated archaeological proposals and are not needed to reconstruct the HPB theological note.</w:t>
      </w:r>
    </w:p>
    <w:sectPr w:rsidR="00FC693F" w:rsidRPr="0006063C" w:rsidSect="00034616">
      <w:headerReference w:type="default" r:id="rId9"/>
      <w:footerReference w:type="default" r:id="rId10"/>
      <w:pgSz w:w="12240" w:h="15840"/>
      <w:pgMar w:top="835"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7"/>
      </w:rPr>
      <w:t>H. P. MANSFIELD BIBLE NOTES  •  GENESIS 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2F67A7"/>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F67A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