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21</w:t>
      </w:r>
    </w:p>
    <w:p>
      <w:pPr>
        <w:spacing w:after="120"/>
        <w:pBdr>
          <w:bottom w:val="single" w:sz="12" w:space="1" w:color="4A86E8"/>
        </w:pBdr>
      </w:pPr>
    </w:p>
    <w:p>
      <w:pPr>
        <w:pStyle w:val="Subtitle"/>
        <w:jc w:val="center"/>
      </w:pPr>
      <w:r>
        <w:t>ISAAC BORN • ISHMAEL CAST OUT • GOD HEARS • THE WELL OF THE OATH</w:t>
      </w:r>
    </w:p>
    <w:p>
      <w:pPr>
        <w:jc w:val="center"/>
      </w:pPr>
      <w:r>
        <w:rPr>
          <w:i/>
        </w:rPr>
        <w:t>H. P. Mansfield Bible notes — checked and arranged in verse-by-verse Expositor style</w:t>
      </w:r>
    </w:p>
    <w:p>
      <w:pPr>
        <w:jc w:val="center"/>
      </w:pPr>
      <w:r>
        <w:t>Source: HPB 01-Gen01-Gen41.PDF, Genesis 21 photographed pages 67–68</w:t>
      </w:r>
    </w:p>
    <w:p>
      <w:pPr>
        <w:pStyle w:val="Heading1"/>
      </w:pPr>
      <w:r>
        <w:t>CHAPTER OVERVIEW</w:t>
      </w:r>
    </w:p>
    <w:p>
      <w:r>
        <w:t>Genesis 21 records the long-awaited birth of Isaac and then sharpens the distinction between the child of promise and Ishmael. Mansfield reads the chapter both historically and through Paul’s inspired allegorical use in Galatians 4:21–31: Isaac represents the seed associated with promise and faith, while Hagar and Ishmael become figures of bondage under the Sinaitic covenant.</w:t>
      </w:r>
    </w:p>
    <w:p>
      <w:r>
        <w:t>The chapter does not portray Ishmael as abandoned by God. He is heard, preserved and promised national development. The closing scene at Beersheba then shows Abraham publicly recognised by Abimelech, settling a dispute over a well by covenant and oath, and worshipping Yahweh as the everlasting God.</w:t>
      </w:r>
    </w:p>
    <w:p>
      <w:pPr>
        <w:pStyle w:val="Heading1"/>
      </w:pPr>
      <w:r>
        <w:t>THE BIRTH AND WEANING OF ISAAC — GENESIS 21:1–8</w:t>
      </w:r>
    </w:p>
    <w:p>
      <w:pPr>
        <w:pStyle w:val="Heading2"/>
      </w:pPr>
      <w:r>
        <w:t>Genesis 21:1–2 — “Yahweh visited Sarah as he had said”</w:t>
      </w:r>
    </w:p>
    <w:p>
      <w:r>
        <w:t>The verb translated “visited” is paqad, used of attentive intervention, whether in mercy or judgment. Here it is plainly gracious: Yahweh does exactly what He had promised (Genesis 17:19,21; 18:10,14). The repeated emphasis — “as he had said,” “as he had spoken,” and “at the set time” — makes fulfilment of the spoken promise the controlling idea.</w:t>
      </w:r>
    </w:p>
    <w:p>
      <w:pPr>
        <w:pStyle w:val="Heading2"/>
      </w:pPr>
      <w:r>
        <w:t>Genesis 21:3–5 — Isaac named and circumcised</w:t>
      </w:r>
    </w:p>
    <w:p>
      <w:r>
        <w:t>Abraham names the child Isaac (“laughter”), exactly as commanded in Genesis 17:19. The laughter that had surrounded the apparently impossible promise is now turned into joy. On the eighth day Abraham circumcises Isaac in obedience to Genesis 17:10–12. Abraham is one hundred years old, underlining that the birth is attributable to Divine power rather than ordinary human capacity (Romans 4:17–21; Hebrews 11:11–12).</w:t>
      </w:r>
    </w:p>
    <w:p>
      <w:pPr>
        <w:pStyle w:val="Heading2"/>
      </w:pPr>
      <w:r>
        <w:t>Genesis 21:6–7 — Sarah’s laughter becomes joy</w:t>
      </w:r>
    </w:p>
    <w:p>
      <w:r>
        <w:t>Sarah now says that God has made her laugh, and that others who hear will laugh with her. Mansfield contrasts this with her earlier inward laughter of disbelief in Genesis 18:12. The promise has moved from improbability to accomplished fact.</w:t>
      </w:r>
    </w:p>
    <w:p>
      <w:pPr>
        <w:pStyle w:val="Heading2"/>
      </w:pPr>
      <w:r>
        <w:t>Genesis 21:8 — Isaac is weaned</w:t>
      </w:r>
    </w:p>
    <w:p>
      <w:r>
        <w:t>The Hebrew gamal can denote weaning and, more broadly, bringing to a stage of development or dealing fully with someone. Mansfield links the change from milk to stronger food with Paul’s contrast between the period under the Law and maturity in faith (Galatians 3:23–26). Abraham marks the occasion with a great feast.</w:t>
      </w:r>
    </w:p>
    <w:p>
      <w:r>
        <w:t>Mansfield’s published exposition calculates Isaac at about five years old by relating Genesis 15:13, Acts 7:6 and Galatians 3:17. That calculation is retained as Mansfield’s chronology, not presented as an explicit age stated by Genesis.</w:t>
      </w:r>
    </w:p>
    <w:p>
      <w:pPr>
        <w:pStyle w:val="Heading1"/>
      </w:pPr>
      <w:r>
        <w:t>ISHMAEL MOCKS AND IS CAST OUT — GENESIS 21:9–14</w:t>
      </w:r>
    </w:p>
    <w:p>
      <w:pPr>
        <w:pStyle w:val="Heading2"/>
      </w:pPr>
      <w:r>
        <w:t>Genesis 21:9 — Ishmael “mocking”</w:t>
      </w:r>
    </w:p>
    <w:p>
      <w:r>
        <w:t>The verb is tsachaq, from the same laughter-word family connected with Isaac. Here the sense is hostile or scornful laughter. Paul interprets the event as persecution: “he that was born after the flesh persecuted him that was born after the Spirit” (Galatians 4:29). This New Testament use supports the KJV’s stronger “mocking” sense in Mansfield’s exposition.</w:t>
      </w:r>
    </w:p>
    <w:p>
      <w:pPr>
        <w:pStyle w:val="Heading2"/>
      </w:pPr>
      <w:r>
        <w:t>Genesis 21:10–13 — the inheritance line defined</w:t>
      </w:r>
    </w:p>
    <w:p>
      <w:r>
        <w:t>Sarah demands that the bondwoman and her son be cast out because Ishmael is not to inherit with Isaac. The demand deeply grieves Abraham, but God confirms the essential covenant distinction: “in Isaac shall thy seed be called” (compare Romans 9:7 and Hebrews 11:18). Ishmael nevertheless remains Abraham’s natural son and receives the promise of becoming a nation. Blessing is therefore distinguished from the special covenant line.</w:t>
      </w:r>
    </w:p>
    <w:p>
      <w:pPr>
        <w:pStyle w:val="Heading2"/>
      </w:pPr>
      <w:r>
        <w:t>Genesis 21:14 — Abraham sends Hagar away</w:t>
      </w:r>
    </w:p>
    <w:p>
      <w:r>
        <w:t>Abraham rises early and obeys despite the personal pain. The Hebrew yeled describes Ishmael as a child/youth; it does not require that he was a small child. Mansfield’s published note says Ishmael was “approximately 18,” but this conflicts with his own five-year weaning calculation: Ishmael was thirteen at Abraham’s circumcision (Genesis 17:25), about fourteen when Isaac was born, and would therefore be about nineteen if Isaac were five at weaning. The numerical inconsistency is corrected here rather than silently repeated.</w:t>
      </w:r>
    </w:p>
    <w:p>
      <w:pPr>
        <w:pStyle w:val="Heading1"/>
      </w:pPr>
      <w:r>
        <w:t>GOD HEARS IN THE WILDERNESS — GENESIS 21:15–21</w:t>
      </w:r>
    </w:p>
    <w:p>
      <w:pPr>
        <w:pStyle w:val="Heading2"/>
      </w:pPr>
      <w:r>
        <w:t>Genesis 21:15–18 — “God heard the voice of the lad”</w:t>
      </w:r>
    </w:p>
    <w:p>
      <w:r>
        <w:t>When the water is exhausted, Hagar withdraws because she cannot bear to watch Ishmael die. God hears the lad. Mansfield draws attention to the wordplay with Ishmael, “El hears,” from shama, “to hear.” The angel repeats the promise that Ishmael will become a great nation and commands Hagar to lift him up.</w:t>
      </w:r>
    </w:p>
    <w:p>
      <w:pPr>
        <w:pStyle w:val="Heading2"/>
      </w:pPr>
      <w:r>
        <w:t>Genesis 21:19 — “God opened her eyes”</w:t>
      </w:r>
    </w:p>
    <w:p>
      <w:r>
        <w:t>Hagar sees a well of water only after God opens her eyes. The text does not say that the well was newly created; the emphasis is on Divine provision becoming perceptible. Mansfield uses the incident as a spiritual figure of eyes being opened to life-giving truth, while preserving the literal wilderness rescue.</w:t>
      </w:r>
    </w:p>
    <w:p>
      <w:pPr>
        <w:pStyle w:val="Heading2"/>
      </w:pPr>
      <w:r>
        <w:t>Genesis 21:20–21 — Ishmael grows in Paran</w:t>
      </w:r>
    </w:p>
    <w:p>
      <w:r>
        <w:t>God remains with Ishmael. The Hebrew gadal means to grow or become great/strong. He dwells in the wilderness, becomes an archer, and later lives in Paran. Mansfield notes qesheth for “bow/archer” and connects the image with strength for warfare. His derivation of Paran and some later prophetic applications are interpretative rather than necessary lexical conclusions. Hagar obtains an Egyptian wife for her son.</w:t>
      </w:r>
    </w:p>
    <w:p>
      <w:pPr>
        <w:pStyle w:val="Heading1"/>
      </w:pPr>
      <w:r>
        <w:t>ABRAHAM AND ABIMELECH AT BEERSHEBA — GENESIS 21:22–34</w:t>
      </w:r>
    </w:p>
    <w:p>
      <w:pPr>
        <w:pStyle w:val="Heading2"/>
      </w:pPr>
      <w:r>
        <w:t>Genesis 21:22–24 — “God is with thee in all that thou doest”</w:t>
      </w:r>
    </w:p>
    <w:p>
      <w:r>
        <w:t>Abimelech and Phichol approach Abraham because his Divine favour is now unmistakable. The man who had been rebuked in Genesis 20 is publicly recognised as one with whom God is working. Abimelech asks for sworn truthful dealing with himself and his descendants, and Abraham agrees.</w:t>
      </w:r>
    </w:p>
    <w:p>
      <w:pPr>
        <w:pStyle w:val="Heading2"/>
      </w:pPr>
      <w:r>
        <w:t>Genesis 21:25–26 — Abraham reproves Abimelech</w:t>
      </w:r>
    </w:p>
    <w:p>
      <w:r>
        <w:t>Before the covenant is completed Abraham raises the seized well. Mansfield identifies yakach in “reproved” with reasoning or bringing a matter to proof. Abimelech denies prior knowledge. The dispute is therefore addressed openly before peaceful relations are formalised.</w:t>
      </w:r>
    </w:p>
    <w:p>
      <w:pPr>
        <w:pStyle w:val="Heading2"/>
      </w:pPr>
      <w:r>
        <w:t>Genesis 21:27–31 — seven ewe lambs and the Well of the Oath</w:t>
      </w:r>
    </w:p>
    <w:p>
      <w:r>
        <w:t>Abraham gives sheep and oxen and the two men “cut” a covenant (karath berith). He then sets seven ewe lambs apart as witness that he dug the well. Mansfield highlights the Hebrew wordplay: sheba means “seven,” while the related oath-language gives Beersheba its explanatory sense “Well of the Oath.” Verse 31 itself grounds the name in the fact that “there they sware both of them.”</w:t>
      </w:r>
    </w:p>
    <w:p>
      <w:pPr>
        <w:pStyle w:val="Heading2"/>
      </w:pPr>
      <w:r>
        <w:t>Genesis 21:32–34 — worship of the everlasting God</w:t>
      </w:r>
    </w:p>
    <w:p>
      <w:r>
        <w:t>After Abimelech and Phichol depart, Abraham plants an eshel, commonly understood as a tamarisk, at Beersheba and calls on “Yahweh, the everlasting God.” The title is El Olam: God viewed in relation to enduring or age-abiding existence. Abraham remains a sojourner in Philistine territory; possession is not yet complete, but covenant witness, worship and confidence continue.</w:t>
      </w:r>
    </w:p>
    <w:p>
      <w:pPr>
        <w:pStyle w:val="Heading1"/>
      </w:pPr>
      <w:r>
        <w:t>PRINCIPAL THEMES</w:t>
      </w:r>
    </w:p>
    <w:p>
      <w:pPr>
        <w:spacing w:after="30"/>
      </w:pPr>
      <w:r>
        <w:rPr>
          <w:b/>
        </w:rPr>
        <w:t xml:space="preserve">Promise fulfilled. </w:t>
      </w:r>
      <w:r>
        <w:t>The long-delayed word concerning Isaac is accomplished at the appointed time.</w:t>
      </w:r>
    </w:p>
    <w:p>
      <w:pPr>
        <w:spacing w:after="30"/>
      </w:pPr>
      <w:r>
        <w:rPr>
          <w:b/>
        </w:rPr>
        <w:t xml:space="preserve">Faith rather than flesh. </w:t>
      </w:r>
      <w:r>
        <w:t>Isaac is explicitly identified as the covenant seed, while Ishmael is blessed but separated from that inheritance line.</w:t>
      </w:r>
    </w:p>
    <w:p>
      <w:pPr>
        <w:spacing w:after="30"/>
      </w:pPr>
      <w:r>
        <w:rPr>
          <w:b/>
        </w:rPr>
        <w:t xml:space="preserve">God hears the afflicted. </w:t>
      </w:r>
      <w:r>
        <w:t>Ishmael’s name becomes concrete experience in the wilderness.</w:t>
      </w:r>
    </w:p>
    <w:p>
      <w:pPr>
        <w:spacing w:after="30"/>
      </w:pPr>
      <w:r>
        <w:rPr>
          <w:b/>
        </w:rPr>
        <w:t xml:space="preserve">Opened eyes and provided water. </w:t>
      </w:r>
      <w:r>
        <w:t>Divine provision is present when human resources are exhausted.</w:t>
      </w:r>
    </w:p>
    <w:p>
      <w:pPr>
        <w:spacing w:after="30"/>
      </w:pPr>
      <w:r>
        <w:rPr>
          <w:b/>
        </w:rPr>
        <w:t xml:space="preserve">Public witness restored. </w:t>
      </w:r>
      <w:r>
        <w:t>Abimelech now recognises that God is with Abraham.</w:t>
      </w:r>
    </w:p>
    <w:p>
      <w:pPr>
        <w:spacing w:after="30"/>
      </w:pPr>
      <w:r>
        <w:rPr>
          <w:b/>
        </w:rPr>
        <w:t xml:space="preserve">Covenant requires truth and justice. </w:t>
      </w:r>
      <w:r>
        <w:t>The well dispute is resolved before the oath is formalised.</w:t>
      </w:r>
    </w:p>
    <w:p>
      <w:pPr>
        <w:spacing w:after="30"/>
      </w:pPr>
      <w:r>
        <w:rPr>
          <w:b/>
        </w:rPr>
        <w:t xml:space="preserve">Pilgrimage continues. </w:t>
      </w:r>
      <w:r>
        <w:t>Beersheba becomes a place of witness and worship while Abraham still sojourns in the land.</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43"/>
        <w:gridCol w:w="3543"/>
        <w:gridCol w:w="3543"/>
      </w:tblGrid>
      <w:tr>
        <w:tc>
          <w:tcPr>
            <w:tcW w:type="dxa" w:w="1656"/>
            <w:vAlign w:val="center"/>
          </w:tcPr>
          <w:p>
            <w:pPr>
              <w:spacing w:after="0" w:line="240" w:lineRule="auto"/>
            </w:pPr>
            <w:r>
              <w:rPr>
                <w:rFonts w:ascii="Times New Roman" w:hAnsi="Times New Roman"/>
                <w:b/>
                <w:sz w:val="17"/>
              </w:rPr>
              <w:t>Location</w:t>
            </w:r>
          </w:p>
        </w:tc>
        <w:tc>
          <w:tcPr>
            <w:tcW w:type="dxa" w:w="4032"/>
            <w:vAlign w:val="center"/>
          </w:tcPr>
          <w:p>
            <w:pPr>
              <w:spacing w:after="0" w:line="240" w:lineRule="auto"/>
            </w:pPr>
            <w:r>
              <w:rPr>
                <w:rFonts w:ascii="Times New Roman" w:hAnsi="Times New Roman"/>
                <w:b/>
                <w:sz w:val="17"/>
              </w:rPr>
              <w:t>Checked / corrected reading</w:t>
            </w:r>
          </w:p>
        </w:tc>
        <w:tc>
          <w:tcPr>
            <w:tcW w:type="dxa" w:w="4752"/>
            <w:vAlign w:val="center"/>
          </w:tcPr>
          <w:p>
            <w:pPr>
              <w:spacing w:after="0" w:line="240" w:lineRule="auto"/>
            </w:pPr>
            <w:r>
              <w:rPr>
                <w:rFonts w:ascii="Times New Roman" w:hAnsi="Times New Roman"/>
                <w:b/>
                <w:sz w:val="17"/>
              </w:rPr>
              <w:t>Basis</w:t>
            </w:r>
          </w:p>
        </w:tc>
      </w:tr>
      <w:tr>
        <w:tc>
          <w:tcPr>
            <w:tcW w:type="dxa" w:w="1656"/>
          </w:tcPr>
          <w:p>
            <w:pPr>
              <w:spacing w:after="0" w:line="240" w:lineRule="auto"/>
            </w:pPr>
            <w:r>
              <w:rPr>
                <w:rFonts w:ascii="Times New Roman" w:hAnsi="Times New Roman"/>
                <w:sz w:val="17"/>
              </w:rPr>
              <w:t>Gen. 21:1</w:t>
            </w:r>
          </w:p>
        </w:tc>
        <w:tc>
          <w:tcPr>
            <w:tcW w:type="dxa" w:w="4032"/>
          </w:tcPr>
          <w:p>
            <w:pPr>
              <w:spacing w:after="0" w:line="240" w:lineRule="auto"/>
            </w:pPr>
            <w:r>
              <w:rPr>
                <w:rFonts w:ascii="Times New Roman" w:hAnsi="Times New Roman"/>
                <w:sz w:val="17"/>
              </w:rPr>
              <w:t>paqad; Gen. 17:19,21; 18:10,14</w:t>
            </w:r>
          </w:p>
        </w:tc>
        <w:tc>
          <w:tcPr>
            <w:tcW w:type="dxa" w:w="4752"/>
          </w:tcPr>
          <w:p>
            <w:pPr>
              <w:spacing w:after="0" w:line="240" w:lineRule="auto"/>
            </w:pPr>
            <w:r>
              <w:rPr>
                <w:rFonts w:ascii="Times New Roman" w:hAnsi="Times New Roman"/>
                <w:sz w:val="17"/>
              </w:rPr>
              <w:t>Confirms the “visited” note and exact fulfilment language.</w:t>
            </w:r>
          </w:p>
        </w:tc>
      </w:tr>
      <w:tr>
        <w:tc>
          <w:tcPr>
            <w:tcW w:type="dxa" w:w="1656"/>
          </w:tcPr>
          <w:p>
            <w:pPr>
              <w:spacing w:after="0" w:line="240" w:lineRule="auto"/>
            </w:pPr>
            <w:r>
              <w:rPr>
                <w:rFonts w:ascii="Times New Roman" w:hAnsi="Times New Roman"/>
                <w:sz w:val="17"/>
              </w:rPr>
              <w:t>Gen. 21:8</w:t>
            </w:r>
          </w:p>
        </w:tc>
        <w:tc>
          <w:tcPr>
            <w:tcW w:type="dxa" w:w="4032"/>
          </w:tcPr>
          <w:p>
            <w:pPr>
              <w:spacing w:after="0" w:line="240" w:lineRule="auto"/>
            </w:pPr>
            <w:r>
              <w:rPr>
                <w:rFonts w:ascii="Times New Roman" w:hAnsi="Times New Roman"/>
                <w:sz w:val="17"/>
              </w:rPr>
              <w:t>gamal; Gal. 3:23–26</w:t>
            </w:r>
          </w:p>
        </w:tc>
        <w:tc>
          <w:tcPr>
            <w:tcW w:type="dxa" w:w="4752"/>
          </w:tcPr>
          <w:p>
            <w:pPr>
              <w:spacing w:after="0" w:line="240" w:lineRule="auto"/>
            </w:pPr>
            <w:r>
              <w:rPr>
                <w:rFonts w:ascii="Times New Roman" w:hAnsi="Times New Roman"/>
                <w:sz w:val="17"/>
              </w:rPr>
              <w:t>Recovers Mansfield’s weaning/development note; age calculation labelled as his chronology.</w:t>
            </w:r>
          </w:p>
        </w:tc>
      </w:tr>
      <w:tr>
        <w:tc>
          <w:tcPr>
            <w:tcW w:type="dxa" w:w="1656"/>
          </w:tcPr>
          <w:p>
            <w:pPr>
              <w:spacing w:after="0" w:line="240" w:lineRule="auto"/>
            </w:pPr>
            <w:r>
              <w:rPr>
                <w:rFonts w:ascii="Times New Roman" w:hAnsi="Times New Roman"/>
                <w:sz w:val="17"/>
              </w:rPr>
              <w:t>Gen. 21:9</w:t>
            </w:r>
          </w:p>
        </w:tc>
        <w:tc>
          <w:tcPr>
            <w:tcW w:type="dxa" w:w="4032"/>
          </w:tcPr>
          <w:p>
            <w:pPr>
              <w:spacing w:after="0" w:line="240" w:lineRule="auto"/>
            </w:pPr>
            <w:r>
              <w:rPr>
                <w:rFonts w:ascii="Times New Roman" w:hAnsi="Times New Roman"/>
                <w:sz w:val="17"/>
              </w:rPr>
              <w:t>tsachaq; Gal. 4:29</w:t>
            </w:r>
          </w:p>
        </w:tc>
        <w:tc>
          <w:tcPr>
            <w:tcW w:type="dxa" w:w="4752"/>
          </w:tcPr>
          <w:p>
            <w:pPr>
              <w:spacing w:after="0" w:line="240" w:lineRule="auto"/>
            </w:pPr>
            <w:r>
              <w:rPr>
                <w:rFonts w:ascii="Times New Roman" w:hAnsi="Times New Roman"/>
                <w:sz w:val="17"/>
              </w:rPr>
              <w:t>Checks “mocking” against Paul’s inspired interpretation as persecution.</w:t>
            </w:r>
          </w:p>
        </w:tc>
      </w:tr>
      <w:tr>
        <w:tc>
          <w:tcPr>
            <w:tcW w:type="dxa" w:w="1656"/>
          </w:tcPr>
          <w:p>
            <w:pPr>
              <w:spacing w:after="0" w:line="240" w:lineRule="auto"/>
            </w:pPr>
            <w:r>
              <w:rPr>
                <w:rFonts w:ascii="Times New Roman" w:hAnsi="Times New Roman"/>
                <w:sz w:val="17"/>
              </w:rPr>
              <w:t>Gen. 21:12</w:t>
            </w:r>
          </w:p>
        </w:tc>
        <w:tc>
          <w:tcPr>
            <w:tcW w:type="dxa" w:w="4032"/>
          </w:tcPr>
          <w:p>
            <w:pPr>
              <w:spacing w:after="0" w:line="240" w:lineRule="auto"/>
            </w:pPr>
            <w:r>
              <w:rPr>
                <w:rFonts w:ascii="Times New Roman" w:hAnsi="Times New Roman"/>
                <w:sz w:val="17"/>
              </w:rPr>
              <w:t>Rom. 9:7; Heb. 11:18</w:t>
            </w:r>
          </w:p>
        </w:tc>
        <w:tc>
          <w:tcPr>
            <w:tcW w:type="dxa" w:w="4752"/>
          </w:tcPr>
          <w:p>
            <w:pPr>
              <w:spacing w:after="0" w:line="240" w:lineRule="auto"/>
            </w:pPr>
            <w:r>
              <w:rPr>
                <w:rFonts w:ascii="Times New Roman" w:hAnsi="Times New Roman"/>
                <w:sz w:val="17"/>
              </w:rPr>
              <w:t>Confirms “in Isaac shall thy seed be called” as covenant-line text.</w:t>
            </w:r>
          </w:p>
        </w:tc>
      </w:tr>
      <w:tr>
        <w:tc>
          <w:tcPr>
            <w:tcW w:type="dxa" w:w="1656"/>
          </w:tcPr>
          <w:p>
            <w:pPr>
              <w:spacing w:after="0" w:line="240" w:lineRule="auto"/>
            </w:pPr>
            <w:r>
              <w:rPr>
                <w:rFonts w:ascii="Times New Roman" w:hAnsi="Times New Roman"/>
                <w:sz w:val="17"/>
              </w:rPr>
              <w:t>Gen. 21:14</w:t>
            </w:r>
          </w:p>
        </w:tc>
        <w:tc>
          <w:tcPr>
            <w:tcW w:type="dxa" w:w="4032"/>
          </w:tcPr>
          <w:p>
            <w:pPr>
              <w:spacing w:after="0" w:line="240" w:lineRule="auto"/>
            </w:pPr>
            <w:r>
              <w:rPr>
                <w:rFonts w:ascii="Times New Roman" w:hAnsi="Times New Roman"/>
                <w:sz w:val="17"/>
              </w:rPr>
              <w:t>yeled; Gen. 17:25</w:t>
            </w:r>
          </w:p>
        </w:tc>
        <w:tc>
          <w:tcPr>
            <w:tcW w:type="dxa" w:w="4752"/>
          </w:tcPr>
          <w:p>
            <w:pPr>
              <w:spacing w:after="0" w:line="240" w:lineRule="auto"/>
            </w:pPr>
            <w:r>
              <w:rPr>
                <w:rFonts w:ascii="Times New Roman" w:hAnsi="Times New Roman"/>
                <w:sz w:val="17"/>
              </w:rPr>
              <w:t>Corrects Mansfield’s internal age inconsistency: about 19 if his five-year weaning chronology is followed.</w:t>
            </w:r>
          </w:p>
        </w:tc>
      </w:tr>
      <w:tr>
        <w:tc>
          <w:tcPr>
            <w:tcW w:type="dxa" w:w="1656"/>
          </w:tcPr>
          <w:p>
            <w:pPr>
              <w:spacing w:after="0" w:line="240" w:lineRule="auto"/>
            </w:pPr>
            <w:r>
              <w:rPr>
                <w:rFonts w:ascii="Times New Roman" w:hAnsi="Times New Roman"/>
                <w:sz w:val="17"/>
              </w:rPr>
              <w:t>Gen. 21:17</w:t>
            </w:r>
          </w:p>
        </w:tc>
        <w:tc>
          <w:tcPr>
            <w:tcW w:type="dxa" w:w="4032"/>
          </w:tcPr>
          <w:p>
            <w:pPr>
              <w:spacing w:after="0" w:line="240" w:lineRule="auto"/>
            </w:pPr>
            <w:r>
              <w:rPr>
                <w:rFonts w:ascii="Times New Roman" w:hAnsi="Times New Roman"/>
                <w:sz w:val="17"/>
              </w:rPr>
              <w:t>shama / Ishmael</w:t>
            </w:r>
          </w:p>
        </w:tc>
        <w:tc>
          <w:tcPr>
            <w:tcW w:type="dxa" w:w="4752"/>
          </w:tcPr>
          <w:p>
            <w:pPr>
              <w:spacing w:after="0" w:line="240" w:lineRule="auto"/>
            </w:pPr>
            <w:r>
              <w:rPr>
                <w:rFonts w:ascii="Times New Roman" w:hAnsi="Times New Roman"/>
                <w:sz w:val="17"/>
              </w:rPr>
              <w:t>Recovers the “God hears” wordplay.</w:t>
            </w:r>
          </w:p>
        </w:tc>
      </w:tr>
      <w:tr>
        <w:tc>
          <w:tcPr>
            <w:tcW w:type="dxa" w:w="1656"/>
          </w:tcPr>
          <w:p>
            <w:pPr>
              <w:spacing w:after="0" w:line="240" w:lineRule="auto"/>
            </w:pPr>
            <w:r>
              <w:rPr>
                <w:rFonts w:ascii="Times New Roman" w:hAnsi="Times New Roman"/>
                <w:sz w:val="17"/>
              </w:rPr>
              <w:t>Gen. 21:20–21</w:t>
            </w:r>
          </w:p>
        </w:tc>
        <w:tc>
          <w:tcPr>
            <w:tcW w:type="dxa" w:w="4032"/>
          </w:tcPr>
          <w:p>
            <w:pPr>
              <w:spacing w:after="0" w:line="240" w:lineRule="auto"/>
            </w:pPr>
            <w:r>
              <w:rPr>
                <w:rFonts w:ascii="Times New Roman" w:hAnsi="Times New Roman"/>
                <w:sz w:val="17"/>
              </w:rPr>
              <w:t>gadal; qesheth</w:t>
            </w:r>
          </w:p>
        </w:tc>
        <w:tc>
          <w:tcPr>
            <w:tcW w:type="dxa" w:w="4752"/>
          </w:tcPr>
          <w:p>
            <w:pPr>
              <w:spacing w:after="0" w:line="240" w:lineRule="auto"/>
            </w:pPr>
            <w:r>
              <w:rPr>
                <w:rFonts w:ascii="Times New Roman" w:hAnsi="Times New Roman"/>
                <w:sz w:val="17"/>
              </w:rPr>
              <w:t>Recovers growth/strength and bow/archer notes while separating conjectural applications.</w:t>
            </w:r>
          </w:p>
        </w:tc>
      </w:tr>
      <w:tr>
        <w:tc>
          <w:tcPr>
            <w:tcW w:type="dxa" w:w="1656"/>
          </w:tcPr>
          <w:p>
            <w:pPr>
              <w:spacing w:after="0" w:line="240" w:lineRule="auto"/>
            </w:pPr>
            <w:r>
              <w:rPr>
                <w:rFonts w:ascii="Times New Roman" w:hAnsi="Times New Roman"/>
                <w:sz w:val="17"/>
              </w:rPr>
              <w:t>Gen. 21:25</w:t>
            </w:r>
          </w:p>
        </w:tc>
        <w:tc>
          <w:tcPr>
            <w:tcW w:type="dxa" w:w="4032"/>
          </w:tcPr>
          <w:p>
            <w:pPr>
              <w:spacing w:after="0" w:line="240" w:lineRule="auto"/>
            </w:pPr>
            <w:r>
              <w:rPr>
                <w:rFonts w:ascii="Times New Roman" w:hAnsi="Times New Roman"/>
                <w:sz w:val="17"/>
              </w:rPr>
              <w:t>yakach</w:t>
            </w:r>
          </w:p>
        </w:tc>
        <w:tc>
          <w:tcPr>
            <w:tcW w:type="dxa" w:w="4752"/>
          </w:tcPr>
          <w:p>
            <w:pPr>
              <w:spacing w:after="0" w:line="240" w:lineRule="auto"/>
            </w:pPr>
            <w:r>
              <w:rPr>
                <w:rFonts w:ascii="Times New Roman" w:hAnsi="Times New Roman"/>
                <w:sz w:val="17"/>
              </w:rPr>
              <w:t>Recovers “reason/reprove/prove” sense in the well dispute.</w:t>
            </w:r>
          </w:p>
        </w:tc>
      </w:tr>
      <w:tr>
        <w:tc>
          <w:tcPr>
            <w:tcW w:type="dxa" w:w="1656"/>
          </w:tcPr>
          <w:p>
            <w:pPr>
              <w:spacing w:after="0" w:line="240" w:lineRule="auto"/>
            </w:pPr>
            <w:r>
              <w:rPr>
                <w:rFonts w:ascii="Times New Roman" w:hAnsi="Times New Roman"/>
                <w:sz w:val="17"/>
              </w:rPr>
              <w:t>Gen. 21:28–31</w:t>
            </w:r>
          </w:p>
        </w:tc>
        <w:tc>
          <w:tcPr>
            <w:tcW w:type="dxa" w:w="4032"/>
          </w:tcPr>
          <w:p>
            <w:pPr>
              <w:spacing w:after="0" w:line="240" w:lineRule="auto"/>
            </w:pPr>
            <w:r>
              <w:rPr>
                <w:rFonts w:ascii="Times New Roman" w:hAnsi="Times New Roman"/>
                <w:sz w:val="17"/>
              </w:rPr>
              <w:t>sheba; oath wordplay; Beersheba</w:t>
            </w:r>
          </w:p>
        </w:tc>
        <w:tc>
          <w:tcPr>
            <w:tcW w:type="dxa" w:w="4752"/>
          </w:tcPr>
          <w:p>
            <w:pPr>
              <w:spacing w:after="0" w:line="240" w:lineRule="auto"/>
            </w:pPr>
            <w:r>
              <w:rPr>
                <w:rFonts w:ascii="Times New Roman" w:hAnsi="Times New Roman"/>
                <w:sz w:val="17"/>
              </w:rPr>
              <w:t>Clarifies seven/oath relationship without overstating etymology.</w:t>
            </w:r>
          </w:p>
        </w:tc>
      </w:tr>
      <w:tr>
        <w:tc>
          <w:tcPr>
            <w:tcW w:type="dxa" w:w="1656"/>
          </w:tcPr>
          <w:p>
            <w:pPr>
              <w:spacing w:after="0" w:line="240" w:lineRule="auto"/>
            </w:pPr>
            <w:r>
              <w:rPr>
                <w:rFonts w:ascii="Times New Roman" w:hAnsi="Times New Roman"/>
                <w:sz w:val="17"/>
              </w:rPr>
              <w:t>Gen. 21:33</w:t>
            </w:r>
          </w:p>
        </w:tc>
        <w:tc>
          <w:tcPr>
            <w:tcW w:type="dxa" w:w="4032"/>
          </w:tcPr>
          <w:p>
            <w:pPr>
              <w:spacing w:after="0" w:line="240" w:lineRule="auto"/>
            </w:pPr>
            <w:r>
              <w:rPr>
                <w:rFonts w:ascii="Times New Roman" w:hAnsi="Times New Roman"/>
                <w:sz w:val="17"/>
              </w:rPr>
              <w:t>eshel; El Olam</w:t>
            </w:r>
          </w:p>
        </w:tc>
        <w:tc>
          <w:tcPr>
            <w:tcW w:type="dxa" w:w="4752"/>
          </w:tcPr>
          <w:p>
            <w:pPr>
              <w:spacing w:after="0" w:line="240" w:lineRule="auto"/>
            </w:pPr>
            <w:r>
              <w:rPr>
                <w:rFonts w:ascii="Times New Roman" w:hAnsi="Times New Roman"/>
                <w:sz w:val="17"/>
              </w:rPr>
              <w:t>Clarifies the “grove” as tamarisk and the Divine title “everlasting God.”</w:t>
            </w:r>
          </w:p>
        </w:tc>
      </w:tr>
    </w:tbl>
    <w:p>
      <w:pPr>
        <w:pStyle w:val="Heading1"/>
      </w:pPr>
      <w:r>
        <w:t>RESIDUAL UNCERTAINTIES</w:t>
      </w:r>
    </w:p>
    <w:p>
      <w:pPr>
        <w:pStyle w:val="ListBullet"/>
      </w:pPr>
      <w:r>
        <w:t>Mansfield’s exact age assigned to Isaac at weaning is a derived chronology, not an age supplied by Genesis. His published statement that Ishmael was “approximately 18” conflicts with that same calculation and has been corrected transparently.</w:t>
      </w:r>
    </w:p>
    <w:p>
      <w:pPr>
        <w:pStyle w:val="ListBullet"/>
      </w:pPr>
      <w:r>
        <w:t>Some of Mansfield’s place-name meanings for Paran and prophetic applications of Ishmael’s later history are expository proposals rather than secure lexical definitions.</w:t>
      </w:r>
    </w:p>
    <w:p>
      <w:pPr>
        <w:pStyle w:val="ListBullet"/>
      </w:pPr>
      <w:r>
        <w:t>The relationship between Hebrew “seven” (sheba) and oath terminology is real wordplay in the narrative, but the finished note avoids claiming more linguistic precision than the text warrants.</w:t>
      </w:r>
    </w:p>
    <w:sectPr w:rsidR="00FC693F" w:rsidRPr="0006063C" w:rsidSect="00034616">
      <w:headerReference w:type="default" r:id="rId9"/>
      <w:footerReference w:type="default" r:id="rId10"/>
      <w:pgSz w:w="12240" w:h="15840"/>
      <w:pgMar w:top="806" w:right="806" w:bottom="792" w:left="806" w:header="317"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7"/>
      </w:rPr>
      <w:t>H. P. MANSFIELD BIBLE NOTES  •  GENESIS 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eastAsia="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eastAsia="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i/>
      <w:iCs/>
      <w:color w:val="367ED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