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22</w:t>
      </w:r>
    </w:p>
    <w:p>
      <w:pPr>
        <w:pBdr>
          <w:bottom w:val="single" w:sz="12" w:space="1" w:color="4A86E8"/>
        </w:pBdr>
      </w:pPr>
    </w:p>
    <w:p>
      <w:pPr>
        <w:pStyle w:val="Subtitle"/>
        <w:jc w:val="center"/>
      </w:pPr>
      <w:r>
        <w:t>THE SUPREME TEST • FATHER AND SON TOGETHER • YAHWEH WILL PROVIDE • THE OATH</w:t>
      </w:r>
    </w:p>
    <w:p>
      <w:pPr>
        <w:jc w:val="center"/>
      </w:pPr>
      <w:r>
        <w:rPr>
          <w:i/>
        </w:rPr>
        <w:t>H. P. Mansfield Bible notes — checked and arranged in verse-by-verse Expositor style</w:t>
      </w:r>
    </w:p>
    <w:p>
      <w:pPr>
        <w:jc w:val="center"/>
      </w:pPr>
      <w:r>
        <w:t>Source: HPB 01-Gen01-Gen41.PDF, Genesis 22 photographed pages 68–69</w:t>
      </w:r>
    </w:p>
    <w:p>
      <w:pPr>
        <w:pStyle w:val="Heading1"/>
      </w:pPr>
      <w:r>
        <w:t>CHAPTER OVERVIEW</w:t>
      </w:r>
    </w:p>
    <w:p>
      <w:r>
        <w:t>Genesis 22 is Mansfield’s “TRIAL OF ABRAHAM’S FAITH”: the climactic proving of the faith developed through Abraham’s pilgrimage. The command appears to threaten the very promise that depends upon Isaac; Abraham nevertheless obeys because he is persuaded that God can restore the promised son even from death (Hebrews 11:17–19).</w:t>
      </w:r>
    </w:p>
    <w:p>
      <w:r>
        <w:t>Mansfield also reads the chapter typologically in relation to Christ: beloved son, wood, willing obedience, Divine provision, sacrifice and subsequent promise. The type must be handled with care. The ram literally takes Isaac’s place in the immediate narrative, but Mansfield explicitly rejects turning that detail into a penal-substitution theory of Christ; in his exposition Isaac and the ram present complementary aspects of Christ’s representative sacrifice.</w:t>
      </w:r>
    </w:p>
    <w:p>
      <w:pPr>
        <w:pStyle w:val="Heading1"/>
      </w:pPr>
      <w:r>
        <w:t>ABRAHAM IS TESTED — GENESIS 22:1–5</w:t>
      </w:r>
    </w:p>
    <w:p>
      <w:pPr>
        <w:pStyle w:val="Heading2"/>
      </w:pPr>
      <w:r>
        <w:t>Genesis 22:1 — “God did tempt Abraham”</w:t>
      </w:r>
    </w:p>
    <w:p>
      <w:r>
        <w:t>The Hebrew is from nasah, “to test/prove.” James 1:13 excludes the idea that God entices anyone to sin. The sense here is trial that reveals and develops faith. Abraham’s ready answer, “Behold, here I am,” introduces the deliberate obedience that governs the whole chapter.</w:t>
      </w:r>
    </w:p>
    <w:p>
      <w:pPr>
        <w:pStyle w:val="Heading2"/>
      </w:pPr>
      <w:r>
        <w:t>Genesis 22:2 — “thy son, thine only son Isaac, whom thou lovest”</w:t>
      </w:r>
    </w:p>
    <w:p>
      <w:r>
        <w:t>The accumulating expressions emphasise the cost of the test. Isaac is the unique son through whom the covenant line has been appointed (Genesis 21:12; Hebrews 11:18). Mansfield treats the language of the beloved and only son as typological preparation for Christ. The destination is the land of Moriah; 2 Chronicles 3:1 later identifies Mount Moriah with the site of Solomon’s temple. Mansfield’s proposed name-meaning “Seen of Yah / Vision of Yah” is retained as his older lexical exposition rather than asserted as certain etymology.</w:t>
      </w:r>
    </w:p>
    <w:p>
      <w:pPr>
        <w:pStyle w:val="Heading2"/>
      </w:pPr>
      <w:r>
        <w:t>Genesis 22:3 — Abraham rises early</w:t>
      </w:r>
    </w:p>
    <w:p>
      <w:r>
        <w:t>Abraham does not delay. The ass, two young men, Isaac and the split wood are prepared methodically. Mansfield stresses the calm sequence as faith-governed obedience, not sudden religious impulse. Hebrews 11:19 explains the reasoning beneath the action: Abraham accounted that God was able to raise Isaac even from the dead.</w:t>
      </w:r>
    </w:p>
    <w:p>
      <w:pPr>
        <w:pStyle w:val="Heading2"/>
      </w:pPr>
      <w:r>
        <w:t>Genesis 22:4–5 — the third day and “we will come again”</w:t>
      </w:r>
    </w:p>
    <w:p>
      <w:r>
        <w:t>On the third day Abraham sees the place afar off. Mansfield observes that, in Abraham’s settled intention, Isaac had been as good as dead throughout the journey. The decisive evidence of resurrection faith is verse 5: “I and the lad will go yonder and worship, and come again to you.” The Hebrew verbs are plural; Abraham expects both worshippers to return. Hebrews 11:17–19 confirms that this confidence rested on resurrection.</w:t>
      </w:r>
    </w:p>
    <w:p>
      <w:pPr>
        <w:pStyle w:val="Heading1"/>
      </w:pPr>
      <w:r>
        <w:t>FATHER AND SON GO TOGETHER — GENESIS 22:6–10</w:t>
      </w:r>
    </w:p>
    <w:p>
      <w:pPr>
        <w:pStyle w:val="Heading2"/>
      </w:pPr>
      <w:r>
        <w:t>Genesis 22:6 — Isaac bears the wood</w:t>
      </w:r>
    </w:p>
    <w:p>
      <w:r>
        <w:t>Isaac carries the wood while Abraham carries fire and the knife. “They went both of them together” is repeated in verse 8. The narrative gives no age for Isaac, but his ability to carry the wood and his later submission imply more than helpless infancy. Mansfield uses the scene to portray willing co-operation between father and son, comparing Christ’s willing obedience (John 10:17–18; Philippians 2:8).</w:t>
      </w:r>
    </w:p>
    <w:p>
      <w:pPr>
        <w:pStyle w:val="Heading2"/>
      </w:pPr>
      <w:r>
        <w:t>Genesis 22:7–8 — “where is the lamb?”</w:t>
      </w:r>
    </w:p>
    <w:p>
      <w:r>
        <w:t>Isaac’s question brings the central issue into focus. Abraham replies: “My son, God will provide himself a lamb for a burnt offering.” In context the verb rendered “provide” belongs to the Hebrew seeing-language later echoed in Yahweh-jireh: God will see to the need. Mansfield treats this statement as the theological key to the chapter and connects it with the Lamb of God (John 1:29).</w:t>
      </w:r>
    </w:p>
    <w:p>
      <w:pPr>
        <w:pStyle w:val="Heading2"/>
      </w:pPr>
      <w:r>
        <w:t>Genesis 22:9 — Isaac bound upon the altar</w:t>
      </w:r>
    </w:p>
    <w:p>
      <w:r>
        <w:t>Abraham builds the altar, arranges the wood, binds Isaac and lays him upon it. No resistance is recorded. Mansfield therefore sees Isaac as a willing participant once the purpose becomes clear, typifying the willing obedience of Christ (Isaiah 53:7; John 10:17–18). The text itself does not tell us the conversation by which father and son reached that point, so no invented dialogue is supplied.</w:t>
      </w:r>
    </w:p>
    <w:p>
      <w:pPr>
        <w:pStyle w:val="Heading2"/>
      </w:pPr>
      <w:r>
        <w:t>Genesis 22:10 — faith reaches outward action</w:t>
      </w:r>
    </w:p>
    <w:p>
      <w:r>
        <w:t>Abraham stretches out his hand and takes the knife. James 2:21–23 points directly to this event when explaining that Abraham’s faith worked with his works and was thereby made complete. The test reaches the point at which inward surrender is demonstrated by intended action.</w:t>
      </w:r>
    </w:p>
    <w:p>
      <w:pPr>
        <w:pStyle w:val="Heading1"/>
      </w:pPr>
      <w:r>
        <w:t>THE RAM AND YAHWEH-JIREH — GENESIS 22:11–14</w:t>
      </w:r>
    </w:p>
    <w:p>
      <w:pPr>
        <w:pStyle w:val="Heading2"/>
      </w:pPr>
      <w:r>
        <w:t>Genesis 22:11–12 — “now I know that thou fearest God”</w:t>
      </w:r>
    </w:p>
    <w:p>
      <w:r>
        <w:t>The angel urgently calls “Abraham, Abraham” and stops the sacrifice. Abraham has not withheld the son through whom his future rests. Mansfield links this with James 2:18–23: the trial publicly demonstrates the reality of faith. Hebrews 11:17 can accordingly say that Abraham “offered up Isaac,” although the act was arrested before Isaac was slain.</w:t>
      </w:r>
    </w:p>
    <w:p>
      <w:pPr>
        <w:pStyle w:val="Heading2"/>
      </w:pPr>
      <w:r>
        <w:t>Genesis 22:13 — the ram “in the stead of his son”</w:t>
      </w:r>
    </w:p>
    <w:p>
      <w:r>
        <w:t>A ram is caught by its horns and offered in Isaac’s place. Mansfield associates the ram (Hebrew ayil) with strength and protection, though that lexical symbolism is expository rather than required by the verse. The immediate substitution is explicit: the ram dies instead of Isaac.</w:t>
      </w:r>
    </w:p>
    <w:p>
      <w:r>
        <w:t>Mansfield then adds an important doctrinal qualification: the episode is not, in his exposition, a basis for teaching that Christ died as a substitute who removes the need of those represented by him to die to sin. Isaac and the ram both typify Christ in different aspects; Christ’s sacrifice is representative, calling his people to crucify the flesh and live unto God (Galatians 5:24; compare Hebrews 13:20).</w:t>
      </w:r>
    </w:p>
    <w:p>
      <w:pPr>
        <w:pStyle w:val="Heading2"/>
      </w:pPr>
      <w:r>
        <w:t>Genesis 22:14 — Yahweh-jireh</w:t>
      </w:r>
    </w:p>
    <w:p>
      <w:r>
        <w:t>Abraham names the place Yahweh-jireh, commonly expressed “Yahweh will provide.” The underlying ra’ah language is literally associated with seeing; in context, “see to / provide” captures the practical force. Mansfield connects the name directly with Abraham’s earlier declaration that God would provide the offering. The KJV’s “in the mount of Yahweh it shall be seen” preserves the same seeing/providing wordplay.</w:t>
      </w:r>
    </w:p>
    <w:p>
      <w:pPr>
        <w:pStyle w:val="Heading1"/>
      </w:pPr>
      <w:r>
        <w:t>THE PROMISE CONFIRMED BY OATH — GENESIS 22:15–19</w:t>
      </w:r>
    </w:p>
    <w:p>
      <w:pPr>
        <w:pStyle w:val="Heading2"/>
      </w:pPr>
      <w:r>
        <w:t>Genesis 22:15–16 — “By myself have I sworn”</w:t>
      </w:r>
    </w:p>
    <w:p>
      <w:r>
        <w:t>The angel calls a second time and the promise is now confirmed by Divine oath. Hebrews 6:13–18 explicitly comments on this event: because God could swear by no greater, He swore by Himself. Mansfield distinguishes the promise and the confirming oath as the two immutable assurances that give strong consolation to the heirs of promise.</w:t>
      </w:r>
    </w:p>
    <w:p>
      <w:pPr>
        <w:pStyle w:val="Heading2"/>
      </w:pPr>
      <w:r>
        <w:t>Genesis 22:17 — stars, sand and the gate of the enemy</w:t>
      </w:r>
    </w:p>
    <w:p>
      <w:r>
        <w:t>The seed is multiplied as the stars of heaven and the sand upon the seashore. Mansfield uses the two figures to develop spiritual and governmental aspects of the promised multitude. “Thy seed shall possess the gate of his enemies” expresses dominion: the gate was the place of control and judgment in an ancient city. The verb yaresh can carry the force of possess/dispossess. Mansfield relates the singular “his enemies” to the promised Seed and ultimately to Christ’s victory.</w:t>
      </w:r>
    </w:p>
    <w:p>
      <w:pPr>
        <w:pStyle w:val="Heading2"/>
      </w:pPr>
      <w:r>
        <w:t>Genesis 22:18 — blessing for all nations</w:t>
      </w:r>
    </w:p>
    <w:p>
      <w:r>
        <w:t>The universal promise is restated: “in thy seed shall all the nations of the earth be blessed; because thou hast obeyed my voice.” Acts 3:25 and Galatians 3:8 both cite this Abrahamic promise in connection with the Gospel. The chapter therefore joins costly obedience with an oath-guaranteed purpose of worldwide blessing.</w:t>
      </w:r>
    </w:p>
    <w:p>
      <w:pPr>
        <w:pStyle w:val="Heading2"/>
      </w:pPr>
      <w:r>
        <w:t>Genesis 22:19 — return to Beersheba</w:t>
      </w:r>
    </w:p>
    <w:p>
      <w:r>
        <w:t>Abraham returns to the young men exactly as he had said in verse 5 and goes to Beersheba. The verse names Abraham but does not explicitly repeat Isaac’s name in the return formula. Mansfield notices this as a possible typological narrative feature, but the text gives no warrant for imagining that Isaac failed to return; verse 5 and the whole narrative require his restoration to Abraham.</w:t>
      </w:r>
    </w:p>
    <w:p>
      <w:pPr>
        <w:pStyle w:val="Heading1"/>
      </w:pPr>
      <w:r>
        <w:t>NAHOR’S FAMILY — GENESIS 22:20–24</w:t>
      </w:r>
    </w:p>
    <w:p>
      <w:r>
        <w:t>The closing genealogy is purposeful preparation for what follows. Bethuel is named as the father of Rebekah (verse 23), introducing the woman who will become Isaac’s wife in Genesis 24. Mansfield therefore treats the list as a transition in the promise narrative rather than an unrelated appendix.</w:t>
      </w:r>
    </w:p>
    <w:p>
      <w:pPr>
        <w:pStyle w:val="Heading1"/>
      </w:pPr>
      <w:r>
        <w:t>PRINCIPAL THEMES</w:t>
      </w:r>
    </w:p>
    <w:p>
      <w:pPr>
        <w:spacing w:after="30"/>
      </w:pPr>
      <w:r>
        <w:rPr>
          <w:b/>
        </w:rPr>
        <w:t xml:space="preserve">Faith is proved. </w:t>
      </w:r>
      <w:r>
        <w:t>The command tests whether Abraham trusts God when visible circumstances appear to contradict the promise.</w:t>
      </w:r>
    </w:p>
    <w:p>
      <w:pPr>
        <w:spacing w:after="30"/>
      </w:pPr>
      <w:r>
        <w:rPr>
          <w:b/>
        </w:rPr>
        <w:t xml:space="preserve">Resurrection underlies obedience. </w:t>
      </w:r>
      <w:r>
        <w:t>Hebrews 11:17–19 supplies the inspired explanation of Abraham’s confidence.</w:t>
      </w:r>
    </w:p>
    <w:p>
      <w:pPr>
        <w:spacing w:after="30"/>
      </w:pPr>
      <w:r>
        <w:rPr>
          <w:b/>
        </w:rPr>
        <w:t xml:space="preserve">Father and son act together. </w:t>
      </w:r>
      <w:r>
        <w:t>The repeated phrase emphasises co-operation and willing submission.</w:t>
      </w:r>
    </w:p>
    <w:p>
      <w:pPr>
        <w:spacing w:after="30"/>
      </w:pPr>
      <w:r>
        <w:rPr>
          <w:b/>
        </w:rPr>
        <w:t xml:space="preserve">God provides. </w:t>
      </w:r>
      <w:r>
        <w:t>The question of the sacrifice is answered in Yahweh-jireh.</w:t>
      </w:r>
    </w:p>
    <w:p>
      <w:pPr>
        <w:spacing w:after="30"/>
      </w:pPr>
      <w:r>
        <w:rPr>
          <w:b/>
        </w:rPr>
        <w:t xml:space="preserve">Faith works. </w:t>
      </w:r>
      <w:r>
        <w:t>James 2:21–23 uses this event to show living faith perfected in action.</w:t>
      </w:r>
    </w:p>
    <w:p>
      <w:pPr>
        <w:spacing w:after="30"/>
      </w:pPr>
      <w:r>
        <w:rPr>
          <w:b/>
        </w:rPr>
        <w:t xml:space="preserve">The promise becomes oath-confirmed. </w:t>
      </w:r>
      <w:r>
        <w:t>Hebrews 6:13–18 identifies Genesis 22 as a foundation of strong consolation.</w:t>
      </w:r>
    </w:p>
    <w:p>
      <w:pPr>
        <w:spacing w:after="30"/>
      </w:pPr>
      <w:r>
        <w:rPr>
          <w:b/>
        </w:rPr>
        <w:t xml:space="preserve">Universal blessing remains the goal. </w:t>
      </w:r>
      <w:r>
        <w:t>The promised Seed is connected with blessing for all nations.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43"/>
        <w:gridCol w:w="3543"/>
        <w:gridCol w:w="3543"/>
      </w:tblGrid>
      <w:tr>
        <w:tc>
          <w:tcPr>
            <w:tcW w:type="dxa" w:w="3543"/>
            <w:vAlign w:val="center"/>
          </w:tcPr>
          <w:p>
            <w:pPr>
              <w:spacing w:after="0" w:line="240" w:lineRule="auto"/>
            </w:pPr>
            <w:r>
              <w:rPr>
                <w:rFonts w:ascii="Times New Roman" w:hAnsi="Times New Roman"/>
                <w:b/>
                <w:sz w:val="16"/>
              </w:rPr>
              <w:t>Location</w:t>
            </w:r>
          </w:p>
        </w:tc>
        <w:tc>
          <w:tcPr>
            <w:tcW w:type="dxa" w:w="3543"/>
            <w:vAlign w:val="center"/>
          </w:tcPr>
          <w:p>
            <w:pPr>
              <w:spacing w:after="0" w:line="240" w:lineRule="auto"/>
            </w:pPr>
            <w:r>
              <w:rPr>
                <w:rFonts w:ascii="Times New Roman" w:hAnsi="Times New Roman"/>
                <w:b/>
                <w:sz w:val="16"/>
              </w:rPr>
              <w:t>Checked / corrected reading</w:t>
            </w:r>
          </w:p>
        </w:tc>
        <w:tc>
          <w:tcPr>
            <w:tcW w:type="dxa" w:w="3543"/>
            <w:vAlign w:val="center"/>
          </w:tcPr>
          <w:p>
            <w:pPr>
              <w:spacing w:after="0" w:line="240" w:lineRule="auto"/>
            </w:pPr>
            <w:r>
              <w:rPr>
                <w:rFonts w:ascii="Times New Roman" w:hAnsi="Times New Roman"/>
                <w:b/>
                <w:sz w:val="16"/>
              </w:rPr>
              <w:t>Basis</w:t>
            </w:r>
          </w:p>
        </w:tc>
      </w:tr>
      <w:tr>
        <w:tc>
          <w:tcPr>
            <w:tcW w:type="dxa" w:w="3543"/>
            <w:vAlign w:val="center"/>
          </w:tcPr>
          <w:p>
            <w:pPr>
              <w:spacing w:after="0" w:line="240" w:lineRule="auto"/>
            </w:pPr>
            <w:r>
              <w:rPr>
                <w:rFonts w:ascii="Times New Roman" w:hAnsi="Times New Roman"/>
                <w:sz w:val="16"/>
              </w:rPr>
              <w:t>Gen. 22:1</w:t>
            </w:r>
          </w:p>
        </w:tc>
        <w:tc>
          <w:tcPr>
            <w:tcW w:type="dxa" w:w="3543"/>
            <w:vAlign w:val="center"/>
          </w:tcPr>
          <w:p>
            <w:pPr>
              <w:spacing w:after="0" w:line="240" w:lineRule="auto"/>
            </w:pPr>
            <w:r>
              <w:rPr>
                <w:rFonts w:ascii="Times New Roman" w:hAnsi="Times New Roman"/>
                <w:sz w:val="16"/>
              </w:rPr>
              <w:t>nasah / test; James 1:13</w:t>
            </w:r>
          </w:p>
        </w:tc>
        <w:tc>
          <w:tcPr>
            <w:tcW w:type="dxa" w:w="3543"/>
            <w:vAlign w:val="center"/>
          </w:tcPr>
          <w:p>
            <w:pPr>
              <w:spacing w:after="0" w:line="240" w:lineRule="auto"/>
            </w:pPr>
            <w:r>
              <w:rPr>
                <w:rFonts w:ascii="Times New Roman" w:hAnsi="Times New Roman"/>
                <w:sz w:val="16"/>
              </w:rPr>
              <w:t>Corrects “tempt” so that it means prove/test, not entice to evil.</w:t>
            </w:r>
          </w:p>
        </w:tc>
      </w:tr>
      <w:tr>
        <w:tc>
          <w:tcPr>
            <w:tcW w:type="dxa" w:w="3543"/>
            <w:vAlign w:val="center"/>
          </w:tcPr>
          <w:p>
            <w:pPr>
              <w:spacing w:after="0" w:line="240" w:lineRule="auto"/>
            </w:pPr>
            <w:r>
              <w:rPr>
                <w:rFonts w:ascii="Times New Roman" w:hAnsi="Times New Roman"/>
                <w:sz w:val="16"/>
              </w:rPr>
              <w:t>Gen. 22:2</w:t>
            </w:r>
          </w:p>
        </w:tc>
        <w:tc>
          <w:tcPr>
            <w:tcW w:type="dxa" w:w="3543"/>
            <w:vAlign w:val="center"/>
          </w:tcPr>
          <w:p>
            <w:pPr>
              <w:spacing w:after="0" w:line="240" w:lineRule="auto"/>
            </w:pPr>
            <w:r>
              <w:rPr>
                <w:rFonts w:ascii="Times New Roman" w:hAnsi="Times New Roman"/>
                <w:sz w:val="16"/>
              </w:rPr>
              <w:t>2 Chron. 3:1; Moriah</w:t>
            </w:r>
          </w:p>
        </w:tc>
        <w:tc>
          <w:tcPr>
            <w:tcW w:type="dxa" w:w="3543"/>
            <w:vAlign w:val="center"/>
          </w:tcPr>
          <w:p>
            <w:pPr>
              <w:spacing w:after="0" w:line="240" w:lineRule="auto"/>
            </w:pPr>
            <w:r>
              <w:rPr>
                <w:rFonts w:ascii="Times New Roman" w:hAnsi="Times New Roman"/>
                <w:sz w:val="16"/>
              </w:rPr>
              <w:t>Confirms temple-site reference; Mansfield’s name derivation labelled as a proposal.</w:t>
            </w:r>
          </w:p>
        </w:tc>
      </w:tr>
      <w:tr>
        <w:tc>
          <w:tcPr>
            <w:tcW w:type="dxa" w:w="3543"/>
            <w:vAlign w:val="center"/>
          </w:tcPr>
          <w:p>
            <w:pPr>
              <w:spacing w:after="0" w:line="240" w:lineRule="auto"/>
            </w:pPr>
            <w:r>
              <w:rPr>
                <w:rFonts w:ascii="Times New Roman" w:hAnsi="Times New Roman"/>
                <w:sz w:val="16"/>
              </w:rPr>
              <w:t>Gen. 22:4–5</w:t>
            </w:r>
          </w:p>
        </w:tc>
        <w:tc>
          <w:tcPr>
            <w:tcW w:type="dxa" w:w="3543"/>
            <w:vAlign w:val="center"/>
          </w:tcPr>
          <w:p>
            <w:pPr>
              <w:spacing w:after="0" w:line="240" w:lineRule="auto"/>
            </w:pPr>
            <w:r>
              <w:rPr>
                <w:rFonts w:ascii="Times New Roman" w:hAnsi="Times New Roman"/>
                <w:sz w:val="16"/>
              </w:rPr>
              <w:t>Heb. 11:17–19</w:t>
            </w:r>
          </w:p>
        </w:tc>
        <w:tc>
          <w:tcPr>
            <w:tcW w:type="dxa" w:w="3543"/>
            <w:vAlign w:val="center"/>
          </w:tcPr>
          <w:p>
            <w:pPr>
              <w:spacing w:after="0" w:line="240" w:lineRule="auto"/>
            </w:pPr>
            <w:r>
              <w:rPr>
                <w:rFonts w:ascii="Times New Roman" w:hAnsi="Times New Roman"/>
                <w:sz w:val="16"/>
              </w:rPr>
              <w:t>Confirms the resurrection-faith interpretation of the third-day journey and plural return.</w:t>
            </w:r>
          </w:p>
        </w:tc>
      </w:tr>
      <w:tr>
        <w:tc>
          <w:tcPr>
            <w:tcW w:type="dxa" w:w="3543"/>
            <w:vAlign w:val="center"/>
          </w:tcPr>
          <w:p>
            <w:pPr>
              <w:spacing w:after="0" w:line="240" w:lineRule="auto"/>
            </w:pPr>
            <w:r>
              <w:rPr>
                <w:rFonts w:ascii="Times New Roman" w:hAnsi="Times New Roman"/>
                <w:sz w:val="16"/>
              </w:rPr>
              <w:t>Gen. 22:6–9</w:t>
            </w:r>
          </w:p>
        </w:tc>
        <w:tc>
          <w:tcPr>
            <w:tcW w:type="dxa" w:w="3543"/>
            <w:vAlign w:val="center"/>
          </w:tcPr>
          <w:p>
            <w:pPr>
              <w:spacing w:after="0" w:line="240" w:lineRule="auto"/>
            </w:pPr>
            <w:r>
              <w:rPr>
                <w:rFonts w:ascii="Times New Roman" w:hAnsi="Times New Roman"/>
                <w:sz w:val="16"/>
              </w:rPr>
              <w:t>John 10:17–18; Isa. 53:7</w:t>
            </w:r>
          </w:p>
        </w:tc>
        <w:tc>
          <w:tcPr>
            <w:tcW w:type="dxa" w:w="3543"/>
            <w:vAlign w:val="center"/>
          </w:tcPr>
          <w:p>
            <w:pPr>
              <w:spacing w:after="0" w:line="240" w:lineRule="auto"/>
            </w:pPr>
            <w:r>
              <w:rPr>
                <w:rFonts w:ascii="Times New Roman" w:hAnsi="Times New Roman"/>
                <w:sz w:val="16"/>
              </w:rPr>
              <w:t>Checks willing-son typology without inventing Isaac’s age or dialogue.</w:t>
            </w:r>
          </w:p>
        </w:tc>
      </w:tr>
      <w:tr>
        <w:tc>
          <w:tcPr>
            <w:tcW w:type="dxa" w:w="3543"/>
            <w:vAlign w:val="center"/>
          </w:tcPr>
          <w:p>
            <w:pPr>
              <w:spacing w:after="0" w:line="240" w:lineRule="auto"/>
            </w:pPr>
            <w:r>
              <w:rPr>
                <w:rFonts w:ascii="Times New Roman" w:hAnsi="Times New Roman"/>
                <w:sz w:val="16"/>
              </w:rPr>
              <w:t>Gen. 22:10–12</w:t>
            </w:r>
          </w:p>
        </w:tc>
        <w:tc>
          <w:tcPr>
            <w:tcW w:type="dxa" w:w="3543"/>
            <w:vAlign w:val="center"/>
          </w:tcPr>
          <w:p>
            <w:pPr>
              <w:spacing w:after="0" w:line="240" w:lineRule="auto"/>
            </w:pPr>
            <w:r>
              <w:rPr>
                <w:rFonts w:ascii="Times New Roman" w:hAnsi="Times New Roman"/>
                <w:sz w:val="16"/>
              </w:rPr>
              <w:t>James 2:21–23</w:t>
            </w:r>
          </w:p>
        </w:tc>
        <w:tc>
          <w:tcPr>
            <w:tcW w:type="dxa" w:w="3543"/>
            <w:vAlign w:val="center"/>
          </w:tcPr>
          <w:p>
            <w:pPr>
              <w:spacing w:after="0" w:line="240" w:lineRule="auto"/>
            </w:pPr>
            <w:r>
              <w:rPr>
                <w:rFonts w:ascii="Times New Roman" w:hAnsi="Times New Roman"/>
                <w:sz w:val="16"/>
              </w:rPr>
              <w:t>Confirms faith demonstrated and perfected by works.</w:t>
            </w:r>
          </w:p>
        </w:tc>
      </w:tr>
      <w:tr>
        <w:tc>
          <w:tcPr>
            <w:tcW w:type="dxa" w:w="3543"/>
            <w:vAlign w:val="center"/>
          </w:tcPr>
          <w:p>
            <w:pPr>
              <w:spacing w:after="0" w:line="240" w:lineRule="auto"/>
            </w:pPr>
            <w:r>
              <w:rPr>
                <w:rFonts w:ascii="Times New Roman" w:hAnsi="Times New Roman"/>
                <w:sz w:val="16"/>
              </w:rPr>
              <w:t>Gen. 22:13</w:t>
            </w:r>
          </w:p>
        </w:tc>
        <w:tc>
          <w:tcPr>
            <w:tcW w:type="dxa" w:w="3543"/>
            <w:vAlign w:val="center"/>
          </w:tcPr>
          <w:p>
            <w:pPr>
              <w:spacing w:after="0" w:line="240" w:lineRule="auto"/>
            </w:pPr>
            <w:r>
              <w:rPr>
                <w:rFonts w:ascii="Times New Roman" w:hAnsi="Times New Roman"/>
                <w:sz w:val="16"/>
              </w:rPr>
              <w:t>ayil; “instead of his son”</w:t>
            </w:r>
          </w:p>
        </w:tc>
        <w:tc>
          <w:tcPr>
            <w:tcW w:type="dxa" w:w="3543"/>
            <w:vAlign w:val="center"/>
          </w:tcPr>
          <w:p>
            <w:pPr>
              <w:spacing w:after="0" w:line="240" w:lineRule="auto"/>
            </w:pPr>
            <w:r>
              <w:rPr>
                <w:rFonts w:ascii="Times New Roman" w:hAnsi="Times New Roman"/>
                <w:sz w:val="16"/>
              </w:rPr>
              <w:t>Preserves literal replacement of Isaac by the ram while distinguishing Mansfield’s representative theology of Christ.</w:t>
            </w:r>
          </w:p>
        </w:tc>
      </w:tr>
      <w:tr>
        <w:tc>
          <w:tcPr>
            <w:tcW w:type="dxa" w:w="3543"/>
            <w:vAlign w:val="center"/>
          </w:tcPr>
          <w:p>
            <w:pPr>
              <w:spacing w:after="0" w:line="240" w:lineRule="auto"/>
            </w:pPr>
            <w:r>
              <w:rPr>
                <w:rFonts w:ascii="Times New Roman" w:hAnsi="Times New Roman"/>
                <w:sz w:val="16"/>
              </w:rPr>
              <w:t>Gen. 22:14</w:t>
            </w:r>
          </w:p>
        </w:tc>
        <w:tc>
          <w:tcPr>
            <w:tcW w:type="dxa" w:w="3543"/>
            <w:vAlign w:val="center"/>
          </w:tcPr>
          <w:p>
            <w:pPr>
              <w:spacing w:after="0" w:line="240" w:lineRule="auto"/>
            </w:pPr>
            <w:r>
              <w:rPr>
                <w:rFonts w:ascii="Times New Roman" w:hAnsi="Times New Roman"/>
                <w:sz w:val="16"/>
              </w:rPr>
              <w:t>ra’ah; Yahweh-jireh</w:t>
            </w:r>
          </w:p>
        </w:tc>
        <w:tc>
          <w:tcPr>
            <w:tcW w:type="dxa" w:w="3543"/>
            <w:vAlign w:val="center"/>
          </w:tcPr>
          <w:p>
            <w:pPr>
              <w:spacing w:after="0" w:line="240" w:lineRule="auto"/>
            </w:pPr>
            <w:r>
              <w:rPr>
                <w:rFonts w:ascii="Times New Roman" w:hAnsi="Times New Roman"/>
                <w:sz w:val="16"/>
              </w:rPr>
              <w:t>Recovers seeing/providing wordplay and “Yahweh will provide.”</w:t>
            </w:r>
          </w:p>
        </w:tc>
      </w:tr>
      <w:tr>
        <w:tc>
          <w:tcPr>
            <w:tcW w:type="dxa" w:w="3543"/>
            <w:vAlign w:val="center"/>
          </w:tcPr>
          <w:p>
            <w:pPr>
              <w:spacing w:after="0" w:line="240" w:lineRule="auto"/>
            </w:pPr>
            <w:r>
              <w:rPr>
                <w:rFonts w:ascii="Times New Roman" w:hAnsi="Times New Roman"/>
                <w:sz w:val="16"/>
              </w:rPr>
              <w:t>Gen. 22:16</w:t>
            </w:r>
          </w:p>
        </w:tc>
        <w:tc>
          <w:tcPr>
            <w:tcW w:type="dxa" w:w="3543"/>
            <w:vAlign w:val="center"/>
          </w:tcPr>
          <w:p>
            <w:pPr>
              <w:spacing w:after="0" w:line="240" w:lineRule="auto"/>
            </w:pPr>
            <w:r>
              <w:rPr>
                <w:rFonts w:ascii="Times New Roman" w:hAnsi="Times New Roman"/>
                <w:sz w:val="16"/>
              </w:rPr>
              <w:t>Heb. 6:13–18</w:t>
            </w:r>
          </w:p>
        </w:tc>
        <w:tc>
          <w:tcPr>
            <w:tcW w:type="dxa" w:w="3543"/>
            <w:vAlign w:val="center"/>
          </w:tcPr>
          <w:p>
            <w:pPr>
              <w:spacing w:after="0" w:line="240" w:lineRule="auto"/>
            </w:pPr>
            <w:r>
              <w:rPr>
                <w:rFonts w:ascii="Times New Roman" w:hAnsi="Times New Roman"/>
                <w:sz w:val="16"/>
              </w:rPr>
              <w:t>Confirms the Divine oath and its New Testament exposition.</w:t>
            </w:r>
          </w:p>
        </w:tc>
      </w:tr>
      <w:tr>
        <w:tc>
          <w:tcPr>
            <w:tcW w:type="dxa" w:w="3543"/>
            <w:vAlign w:val="center"/>
          </w:tcPr>
          <w:p>
            <w:pPr>
              <w:spacing w:after="0" w:line="240" w:lineRule="auto"/>
            </w:pPr>
            <w:r>
              <w:rPr>
                <w:rFonts w:ascii="Times New Roman" w:hAnsi="Times New Roman"/>
                <w:sz w:val="16"/>
              </w:rPr>
              <w:t>Gen. 22:17</w:t>
            </w:r>
          </w:p>
        </w:tc>
        <w:tc>
          <w:tcPr>
            <w:tcW w:type="dxa" w:w="3543"/>
            <w:vAlign w:val="center"/>
          </w:tcPr>
          <w:p>
            <w:pPr>
              <w:spacing w:after="0" w:line="240" w:lineRule="auto"/>
            </w:pPr>
            <w:r>
              <w:rPr>
                <w:rFonts w:ascii="Times New Roman" w:hAnsi="Times New Roman"/>
                <w:sz w:val="16"/>
              </w:rPr>
              <w:t>yaresh; gate of enemies</w:t>
            </w:r>
          </w:p>
        </w:tc>
        <w:tc>
          <w:tcPr>
            <w:tcW w:type="dxa" w:w="3543"/>
            <w:vAlign w:val="center"/>
          </w:tcPr>
          <w:p>
            <w:pPr>
              <w:spacing w:after="0" w:line="240" w:lineRule="auto"/>
            </w:pPr>
            <w:r>
              <w:rPr>
                <w:rFonts w:ascii="Times New Roman" w:hAnsi="Times New Roman"/>
                <w:sz w:val="16"/>
              </w:rPr>
              <w:t>Recovers possess/dispossess and the gate-as-dominion image.</w:t>
            </w:r>
          </w:p>
        </w:tc>
      </w:tr>
      <w:tr>
        <w:tc>
          <w:tcPr>
            <w:tcW w:type="dxa" w:w="3543"/>
            <w:vAlign w:val="center"/>
          </w:tcPr>
          <w:p>
            <w:pPr>
              <w:spacing w:after="0" w:line="240" w:lineRule="auto"/>
            </w:pPr>
            <w:r>
              <w:rPr>
                <w:rFonts w:ascii="Times New Roman" w:hAnsi="Times New Roman"/>
                <w:sz w:val="16"/>
              </w:rPr>
              <w:t>Gen. 22:18</w:t>
            </w:r>
          </w:p>
        </w:tc>
        <w:tc>
          <w:tcPr>
            <w:tcW w:type="dxa" w:w="3543"/>
            <w:vAlign w:val="center"/>
          </w:tcPr>
          <w:p>
            <w:pPr>
              <w:spacing w:after="0" w:line="240" w:lineRule="auto"/>
            </w:pPr>
            <w:r>
              <w:rPr>
                <w:rFonts w:ascii="Times New Roman" w:hAnsi="Times New Roman"/>
                <w:sz w:val="16"/>
              </w:rPr>
              <w:t>Acts 3:25; Gal. 3:8</w:t>
            </w:r>
          </w:p>
        </w:tc>
        <w:tc>
          <w:tcPr>
            <w:tcW w:type="dxa" w:w="3543"/>
            <w:vAlign w:val="center"/>
          </w:tcPr>
          <w:p>
            <w:pPr>
              <w:spacing w:after="0" w:line="240" w:lineRule="auto"/>
            </w:pPr>
            <w:r>
              <w:rPr>
                <w:rFonts w:ascii="Times New Roman" w:hAnsi="Times New Roman"/>
                <w:sz w:val="16"/>
              </w:rPr>
              <w:t>Confirms universal Gospel blessing through Abraham’s seed.</w:t>
            </w:r>
          </w:p>
        </w:tc>
      </w:tr>
      <w:tr>
        <w:tc>
          <w:tcPr>
            <w:tcW w:type="dxa" w:w="3543"/>
            <w:vAlign w:val="center"/>
          </w:tcPr>
          <w:p>
            <w:pPr>
              <w:spacing w:after="0" w:line="240" w:lineRule="auto"/>
            </w:pPr>
            <w:r>
              <w:rPr>
                <w:rFonts w:ascii="Times New Roman" w:hAnsi="Times New Roman"/>
                <w:sz w:val="16"/>
              </w:rPr>
              <w:t>Gen. 22:19</w:t>
            </w:r>
          </w:p>
        </w:tc>
        <w:tc>
          <w:tcPr>
            <w:tcW w:type="dxa" w:w="3543"/>
            <w:vAlign w:val="center"/>
          </w:tcPr>
          <w:p>
            <w:pPr>
              <w:spacing w:after="0" w:line="240" w:lineRule="auto"/>
            </w:pPr>
            <w:r>
              <w:rPr>
                <w:rFonts w:ascii="Times New Roman" w:hAnsi="Times New Roman"/>
                <w:sz w:val="16"/>
              </w:rPr>
              <w:t>plural return in v.5</w:t>
            </w:r>
          </w:p>
        </w:tc>
        <w:tc>
          <w:tcPr>
            <w:tcW w:type="dxa" w:w="3543"/>
            <w:vAlign w:val="center"/>
          </w:tcPr>
          <w:p>
            <w:pPr>
              <w:spacing w:after="0" w:line="240" w:lineRule="auto"/>
            </w:pPr>
            <w:r>
              <w:rPr>
                <w:rFonts w:ascii="Times New Roman" w:hAnsi="Times New Roman"/>
                <w:sz w:val="16"/>
              </w:rPr>
              <w:t>Keeps Isaac’s omission from the wording as a narrative observation, not a literal absence.</w:t>
            </w:r>
          </w:p>
        </w:tc>
      </w:tr>
      <w:tr>
        <w:tc>
          <w:tcPr>
            <w:tcW w:type="dxa" w:w="3543"/>
            <w:vAlign w:val="center"/>
          </w:tcPr>
          <w:p>
            <w:pPr>
              <w:spacing w:after="0" w:line="240" w:lineRule="auto"/>
            </w:pPr>
            <w:r>
              <w:rPr>
                <w:rFonts w:ascii="Times New Roman" w:hAnsi="Times New Roman"/>
                <w:sz w:val="16"/>
              </w:rPr>
              <w:t>Gen. 22:23</w:t>
            </w:r>
          </w:p>
        </w:tc>
        <w:tc>
          <w:tcPr>
            <w:tcW w:type="dxa" w:w="3543"/>
            <w:vAlign w:val="center"/>
          </w:tcPr>
          <w:p>
            <w:pPr>
              <w:spacing w:after="0" w:line="240" w:lineRule="auto"/>
            </w:pPr>
            <w:r>
              <w:rPr>
                <w:rFonts w:ascii="Times New Roman" w:hAnsi="Times New Roman"/>
                <w:sz w:val="16"/>
              </w:rPr>
              <w:t>Bethuel / Rebekah</w:t>
            </w:r>
          </w:p>
        </w:tc>
        <w:tc>
          <w:tcPr>
            <w:tcW w:type="dxa" w:w="3543"/>
            <w:vAlign w:val="center"/>
          </w:tcPr>
          <w:p>
            <w:pPr>
              <w:spacing w:after="0" w:line="240" w:lineRule="auto"/>
            </w:pPr>
            <w:r>
              <w:rPr>
                <w:rFonts w:ascii="Times New Roman" w:hAnsi="Times New Roman"/>
                <w:sz w:val="16"/>
              </w:rPr>
              <w:t>Confirms the genealogy as preparation for Genesis 24.</w:t>
            </w:r>
          </w:p>
        </w:tc>
      </w:tr>
    </w:tbl>
    <w:p>
      <w:pPr>
        <w:pStyle w:val="Heading1"/>
      </w:pPr>
      <w:r>
        <w:t>RESIDUAL UNCERTAINTIES</w:t>
      </w:r>
    </w:p>
    <w:p>
      <w:pPr>
        <w:pStyle w:val="ListBullet"/>
      </w:pPr>
      <w:r>
        <w:t>Mansfield’s derivation of “Moriah” as “Seen of Yah / Vision of Yah” is an older expository proposal; the secure biblical point is the later identification of Mount Moriah with Solomon’s temple site in 2 Chronicles 3:1.</w:t>
      </w:r>
    </w:p>
    <w:p>
      <w:pPr>
        <w:pStyle w:val="ListBullet"/>
      </w:pPr>
      <w:r>
        <w:t>The ram-strength symbolism and the precise significance assigned to its horns are Mansfield’s typological exposition; the secure lexical/narrative fact is a ram caught by its horns and offered instead of Isaac.</w:t>
      </w:r>
    </w:p>
    <w:p>
      <w:pPr>
        <w:pStyle w:val="ListBullet"/>
      </w:pPr>
      <w:r>
        <w:t>Isaac’s age is not given. Statements that he was a teenager, twenty-five, or another precise age are deductions or traditions and have not been presented as biblical fact.</w:t>
      </w:r>
    </w:p>
    <w:p>
      <w:pPr>
        <w:pStyle w:val="ListBullet"/>
      </w:pPr>
      <w:r>
        <w:t>Isaac is not explicitly named in verse 19’s return statement. The observation is preserved, but no doctrine is built on the silence beyond Mansfield’s clearly labelled typological suggestion.</w:t>
      </w:r>
    </w:p>
    <w:sectPr w:rsidR="00FC693F" w:rsidRPr="0006063C" w:rsidSect="00034616">
      <w:headerReference w:type="default" r:id="rId9"/>
      <w:footerReference w:type="default" r:id="rId10"/>
      <w:pgSz w:w="12240" w:h="15840"/>
      <w:pgMar w:top="806" w:right="806" w:bottom="792" w:left="806" w:header="317"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0"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70"/>
      <w:outlineLvl w:val="0"/>
    </w:pPr>
    <w:rPr>
      <w:rFonts w:asciiTheme="majorHAnsi" w:eastAsiaTheme="majorEastAsia" w:hAnsiTheme="majorHAnsi" w:cstheme="majorBidi" w:ascii="Arial" w:hAnsi="Arial" w:eastAsia="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90" w:after="30"/>
      <w:outlineLvl w:val="1"/>
    </w:pPr>
    <w:rPr>
      <w:rFonts w:asciiTheme="majorHAnsi" w:eastAsiaTheme="majorEastAsia" w:hAnsiTheme="majorHAnsi" w:cstheme="majorBidi" w:ascii="Arial" w:hAnsi="Arial" w:eastAsia="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i/>
      <w:iCs/>
      <w:color w:val="367ED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