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23</w:t>
      </w:r>
    </w:p>
    <w:p>
      <w:pPr>
        <w:pBdr>
          <w:bottom w:val="single" w:sz="12" w:space="1" w:color="4A86E8"/>
        </w:pBdr>
      </w:pPr>
    </w:p>
    <w:p>
      <w:pPr>
        <w:pStyle w:val="Subtitle"/>
        <w:jc w:val="center"/>
      </w:pPr>
      <w:r>
        <w:t>SARAH DIES • STRANGER AND SOJOURNER • MACHPELAH PURCHASED • A GRAVE IN THE LAND</w:t>
      </w:r>
    </w:p>
    <w:p>
      <w:pPr>
        <w:jc w:val="center"/>
      </w:pPr>
      <w:r>
        <w:rPr>
          <w:i/>
        </w:rPr>
        <w:t>H. P. Mansfield Bible notes — checked and arranged in verse-by-verse Expositor style</w:t>
      </w:r>
    </w:p>
    <w:p>
      <w:pPr>
        <w:jc w:val="center"/>
      </w:pPr>
      <w:r>
        <w:t>Source: HPB 01-Gen01-Gen41.PDF, Genesis 23 photographed pages 69–70</w:t>
      </w:r>
    </w:p>
    <w:p>
      <w:pPr>
        <w:pStyle w:val="Heading1"/>
      </w:pPr>
      <w:r>
        <w:t>CHAPTER OVERVIEW</w:t>
      </w:r>
    </w:p>
    <w:p>
      <w:r>
        <w:t>Genesis 23 moves from the supreme trial of Genesis 22 to bereavement. Sarah dies, Abraham mourns, and the man to whom the whole land has been promised must ask the resident Hittites for a place to bury his dead. Mansfield makes this paradox central: Abraham is heir by promise but remains “a stranger and a sojourner.”</w:t>
      </w:r>
    </w:p>
    <w:p>
      <w:r>
        <w:t>The resulting purchase of Machpelah is conducted publicly, courteously and for full payment. The first legally secured parcel associated with Abraham in the promised land is therefore a burial place. Mansfield sees the grave not as defeat of the promise but as a witness that fulfilment must ultimately pass through resurrection.</w:t>
      </w:r>
    </w:p>
    <w:p>
      <w:pPr>
        <w:pStyle w:val="Heading1"/>
      </w:pPr>
      <w:r>
        <w:t>THE DEATH OF SARAH — GENESIS 23:1–2</w:t>
      </w:r>
    </w:p>
    <w:p>
      <w:pPr>
        <w:pStyle w:val="Heading2"/>
      </w:pPr>
      <w:r>
        <w:t>Genesis 23:1 — Sarah’s 127 years</w:t>
      </w:r>
    </w:p>
    <w:p>
      <w:r>
        <w:t>Sarah dies at one hundred and twenty-seven years of age. Mansfield notes the unusual precision: Sarah is the only woman in Scripture whose full age/lifespan is explicitly recorded in this way. Since she was ninety when Isaac was promised and born (Genesis 17:17; 21:5), Isaac would be about thirty-seven at her death.</w:t>
      </w:r>
    </w:p>
    <w:p>
      <w:r>
        <w:t>Mansfield develops an extended symbolic-number interpretation of 127. That speculation is preserved only as his exposition, not treated as an inspired numerical code. The secure point is the unusually explicit record of Sarah’s age and her unique place alongside Abraham in the covenant history (Isaiah 51:2; 1 Peter 3:6).</w:t>
      </w:r>
    </w:p>
    <w:p>
      <w:pPr>
        <w:pStyle w:val="Heading2"/>
      </w:pPr>
      <w:r>
        <w:t>Genesis 23:2 — mourning at Hebron</w:t>
      </w:r>
    </w:p>
    <w:p>
      <w:r>
        <w:t>Sarah dies at Kirjath-arba, identified by the narrative as Hebron. Abraham comes to mourn and weep. Faith in resurrection does not suppress grief: compare 1 Thessalonians 4:13, where believers sorrow, but not as those who have no hope. Mansfield therefore treats Abraham’s tears as genuine bereavement within faith, not as spiritual failure.</w:t>
      </w:r>
    </w:p>
    <w:p>
      <w:pPr>
        <w:pStyle w:val="Heading1"/>
      </w:pPr>
      <w:r>
        <w:t>A STRANGER ASKS FOR A GRAVE — GENESIS 23:3–9</w:t>
      </w:r>
    </w:p>
    <w:p>
      <w:pPr>
        <w:pStyle w:val="Heading2"/>
      </w:pPr>
      <w:r>
        <w:t>Genesis 23:3–4 — “I am a stranger and a sojourner with you”</w:t>
      </w:r>
    </w:p>
    <w:p>
      <w:r>
        <w:t>Abraham rises from before his dead and addresses the sons of Heth. His self-description is fundamental: he is a resident alien, not a settled Canaanite landholder. Hebrews 11:13 later uses the same pilgrim language of the faithful. Acts 7:5 likewise emphasises that God gave Abraham no inheritance in the land during his lifetime, “no, not so much as to set his foot on,” despite the promise.</w:t>
      </w:r>
    </w:p>
    <w:p>
      <w:r>
        <w:t>He therefore requests a possession for a burial place. The request exposes the tension between present experience and future promise: he must buy a grave in the very land God has promised him forever.</w:t>
      </w:r>
    </w:p>
    <w:p>
      <w:pPr>
        <w:pStyle w:val="Heading2"/>
      </w:pPr>
      <w:r>
        <w:t>Genesis 23:5–7 — “a mighty prince among us”</w:t>
      </w:r>
    </w:p>
    <w:p>
      <w:r>
        <w:t>The Hittites answer respectfully, calling Abraham literally a “prince of God/Elohim” among them and offering access to their choice sepulchres. Mansfield sees the statement as evidence of Abraham’s standing before outsiders. Abraham responds with equal courtesy, bowing to the people of the land. Separateness does not require rudeness or social contempt.</w:t>
      </w:r>
    </w:p>
    <w:p>
      <w:pPr>
        <w:pStyle w:val="Heading2"/>
      </w:pPr>
      <w:r>
        <w:t>Genesis 23:8–9 — the cave of Machpelah for “full money”</w:t>
      </w:r>
    </w:p>
    <w:p>
      <w:r>
        <w:t>Abraham asks specifically for Ephron’s cave of Machpelah and insists on paying the full value. Machpelah is commonly connected with the idea of doubling/double. Mansfield later associates the family tomb with the patriarchal line, but the narrative’s immediate emphasis is legal certainty: Abraham wants an indisputable possession, not a favour that can later be reinterpreted or withdrawn.</w:t>
      </w:r>
    </w:p>
    <w:p>
      <w:pPr>
        <w:pStyle w:val="Heading1"/>
      </w:pPr>
      <w:r>
        <w:t>THE PUBLIC NEGOTIATION — GENESIS 23:10–16</w:t>
      </w:r>
    </w:p>
    <w:p>
      <w:pPr>
        <w:pStyle w:val="Heading2"/>
      </w:pPr>
      <w:r>
        <w:t>Genesis 23:10–11 — at the gate of the city</w:t>
      </w:r>
    </w:p>
    <w:p>
      <w:r>
        <w:t>Ephron is present among the sons of Heth, and the negotiation occurs “in the audience of all that went in at the gate of his city.” The city gate is the normal public/legal setting for such transactions (compare Ruth 4:1–11). Ephron offers both field and cave. Mansfield recognises the elaborate courtesy of eastern bargaining but avoids treating every generous phrase as the final legal position.</w:t>
      </w:r>
    </w:p>
    <w:p>
      <w:pPr>
        <w:pStyle w:val="Heading2"/>
      </w:pPr>
      <w:r>
        <w:t>Genesis 23:12–13 — Abraham insists on purchase</w:t>
      </w:r>
    </w:p>
    <w:p>
      <w:r>
        <w:t>Abraham bows again and repeats that he will pay for the field. His courtesy is matched by firmness. Mansfield compares this with Abraham’s refusal of the king of Sodom’s enrichment in Genesis 14:22–24: Abraham will not allow his distinct covenant position to depend upon ambiguous patronage.</w:t>
      </w:r>
    </w:p>
    <w:p>
      <w:pPr>
        <w:pStyle w:val="Heading2"/>
      </w:pPr>
      <w:r>
        <w:t>Genesis 23:14–16 — four hundred shekels of silver</w:t>
      </w:r>
    </w:p>
    <w:p>
      <w:r>
        <w:t>Ephron names four hundred shekels of silver. The shekel at this period is a unit of weight, not yet a minted Israelite coin. Abraham does not bargain down the amount; he weighs out the silver “current with the merchant,” that is, silver acceptable by contemporary commercial standard. Mansfield’s old monetary conversions are dated and have been omitted because they do not help recover the HPB note.</w:t>
      </w:r>
    </w:p>
    <w:p>
      <w:r>
        <w:t>The key point is integrity of title. Abraham pays the stated price publicly so that the burial place cannot later be represented as a revocable gift.</w:t>
      </w:r>
    </w:p>
    <w:p>
      <w:pPr>
        <w:pStyle w:val="Heading1"/>
      </w:pPr>
      <w:r>
        <w:t>MACHPELAH MADE SURE — GENESIS 23:17–20</w:t>
      </w:r>
    </w:p>
    <w:p>
      <w:pPr>
        <w:pStyle w:val="Heading2"/>
      </w:pPr>
      <w:r>
        <w:t>Genesis 23:17–18 — field, cave and trees legally secured</w:t>
      </w:r>
    </w:p>
    <w:p>
      <w:r>
        <w:t>The text carefully lists the field, the cave and the trees within its borders and repeatedly says that the property was “made sure” to Abraham. Mansfield rightly notices the title-deed-like precision. The transaction is witnessed by the sons of Heth and by all who entered the city gate; Abraham’s right is public and legally recognised.</w:t>
      </w:r>
    </w:p>
    <w:p>
      <w:pPr>
        <w:pStyle w:val="Heading2"/>
      </w:pPr>
      <w:r>
        <w:t>Genesis 23:19 — Sarah buried in Machpelah</w:t>
      </w:r>
    </w:p>
    <w:p>
      <w:r>
        <w:t>Sarah is buried in the cave before Mamre, at Hebron. The cave becomes the family sepulchre: Abraham is later buried there by Isaac and Ishmael (Genesis 25:9); Isaac and Rebekah, and Jacob and Leah, are also associated with the same burial place (Genesis 49:29–32; 50:13).</w:t>
      </w:r>
    </w:p>
    <w:p>
      <w:pPr>
        <w:pStyle w:val="Heading2"/>
      </w:pPr>
      <w:r>
        <w:t>Genesis 23:20 — a possession for burial</w:t>
      </w:r>
    </w:p>
    <w:p>
      <w:r>
        <w:t>The closing verse repeats that the field and cave were secured to Abraham as a possession for a burying place. Mansfield calls it the one tangible foothold Abraham obtained in the land during his mortal pilgrimage. That very character gives the possession its force: the promise of everlasting inheritance cannot be exhausted by a grave. Hebrews 11:13, 39–40 confirms that the patriarchal hope reached beyond death to a future fulfilment God had prepared.</w:t>
      </w:r>
    </w:p>
    <w:p>
      <w:pPr>
        <w:pStyle w:val="Heading1"/>
      </w:pPr>
      <w:r>
        <w:t>PRINCIPAL THEMES</w:t>
      </w:r>
    </w:p>
    <w:p>
      <w:pPr>
        <w:spacing w:after="30"/>
      </w:pPr>
      <w:r>
        <w:rPr>
          <w:b/>
        </w:rPr>
        <w:t xml:space="preserve">Faith can grieve. </w:t>
      </w:r>
      <w:r>
        <w:t>Abraham mourns Sarah without surrendering the resurrection hope.</w:t>
      </w:r>
    </w:p>
    <w:p>
      <w:pPr>
        <w:spacing w:after="30"/>
      </w:pPr>
      <w:r>
        <w:rPr>
          <w:b/>
        </w:rPr>
        <w:t xml:space="preserve">The heir remains a stranger. </w:t>
      </w:r>
      <w:r>
        <w:t>Present non-possession does not cancel the Divine promise.</w:t>
      </w:r>
    </w:p>
    <w:p>
      <w:pPr>
        <w:spacing w:after="30"/>
      </w:pPr>
      <w:r>
        <w:rPr>
          <w:b/>
        </w:rPr>
        <w:t xml:space="preserve">Separation and courtesy belong together. </w:t>
      </w:r>
      <w:r>
        <w:t>Abraham is distinct from the Hittites but scrupulously respectful.</w:t>
      </w:r>
    </w:p>
    <w:p>
      <w:pPr>
        <w:spacing w:after="30"/>
      </w:pPr>
      <w:r>
        <w:rPr>
          <w:b/>
        </w:rPr>
        <w:t xml:space="preserve">Integrity requires clear title. </w:t>
      </w:r>
      <w:r>
        <w:t>The field is purchased publicly for full payment rather than accepted on ambiguous terms.</w:t>
      </w:r>
    </w:p>
    <w:p>
      <w:pPr>
        <w:spacing w:after="30"/>
      </w:pPr>
      <w:r>
        <w:rPr>
          <w:b/>
        </w:rPr>
        <w:t xml:space="preserve">The first foothold is a grave. </w:t>
      </w:r>
      <w:r>
        <w:t>Machpelah exposes the need for resurrection if the everlasting land promise is to be fulfilled.</w:t>
      </w:r>
    </w:p>
    <w:p>
      <w:pPr>
        <w:spacing w:after="30"/>
      </w:pPr>
      <w:r>
        <w:rPr>
          <w:b/>
        </w:rPr>
        <w:t xml:space="preserve">The promise survives death. </w:t>
      </w:r>
      <w:r>
        <w:t>The family tomb becomes a continuing witness to the patriarchal hope.</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43"/>
        <w:gridCol w:w="3543"/>
        <w:gridCol w:w="3543"/>
      </w:tblGrid>
      <w:tr>
        <w:tc>
          <w:tcPr>
            <w:tcW w:type="dxa" w:w="3543"/>
            <w:vAlign w:val="center"/>
          </w:tcPr>
          <w:p>
            <w:pPr>
              <w:spacing w:after="0" w:line="240" w:lineRule="auto"/>
            </w:pPr>
            <w:r>
              <w:rPr>
                <w:rFonts w:ascii="Times New Roman" w:hAnsi="Times New Roman"/>
                <w:b/>
                <w:sz w:val="17"/>
              </w:rPr>
              <w:t>Location</w:t>
            </w:r>
          </w:p>
        </w:tc>
        <w:tc>
          <w:tcPr>
            <w:tcW w:type="dxa" w:w="3543"/>
            <w:vAlign w:val="center"/>
          </w:tcPr>
          <w:p>
            <w:pPr>
              <w:spacing w:after="0" w:line="240" w:lineRule="auto"/>
            </w:pPr>
            <w:r>
              <w:rPr>
                <w:rFonts w:ascii="Times New Roman" w:hAnsi="Times New Roman"/>
                <w:b/>
                <w:sz w:val="17"/>
              </w:rPr>
              <w:t>Checked / corrected reading</w:t>
            </w:r>
          </w:p>
        </w:tc>
        <w:tc>
          <w:tcPr>
            <w:tcW w:type="dxa" w:w="3543"/>
            <w:vAlign w:val="center"/>
          </w:tcPr>
          <w:p>
            <w:pPr>
              <w:spacing w:after="0" w:line="240" w:lineRule="auto"/>
            </w:pPr>
            <w:r>
              <w:rPr>
                <w:rFonts w:ascii="Times New Roman" w:hAnsi="Times New Roman"/>
                <w:b/>
                <w:sz w:val="17"/>
              </w:rPr>
              <w:t>Basis</w:t>
            </w:r>
          </w:p>
        </w:tc>
      </w:tr>
      <w:tr>
        <w:tc>
          <w:tcPr>
            <w:tcW w:type="dxa" w:w="3543"/>
            <w:vAlign w:val="center"/>
          </w:tcPr>
          <w:p>
            <w:pPr>
              <w:spacing w:after="0" w:line="240" w:lineRule="auto"/>
            </w:pPr>
            <w:r>
              <w:rPr>
                <w:rFonts w:ascii="Times New Roman" w:hAnsi="Times New Roman"/>
                <w:sz w:val="17"/>
              </w:rPr>
              <w:t>Gen. 23:1</w:t>
            </w:r>
          </w:p>
        </w:tc>
        <w:tc>
          <w:tcPr>
            <w:tcW w:type="dxa" w:w="3543"/>
            <w:vAlign w:val="center"/>
          </w:tcPr>
          <w:p>
            <w:pPr>
              <w:spacing w:after="0" w:line="240" w:lineRule="auto"/>
            </w:pPr>
            <w:r>
              <w:rPr>
                <w:rFonts w:ascii="Times New Roman" w:hAnsi="Times New Roman"/>
                <w:sz w:val="17"/>
              </w:rPr>
              <w:t>Sarah 127; Gen. 17:17; 21:5</w:t>
            </w:r>
          </w:p>
        </w:tc>
        <w:tc>
          <w:tcPr>
            <w:tcW w:type="dxa" w:w="3543"/>
            <w:vAlign w:val="center"/>
          </w:tcPr>
          <w:p>
            <w:pPr>
              <w:spacing w:after="0" w:line="240" w:lineRule="auto"/>
            </w:pPr>
            <w:r>
              <w:rPr>
                <w:rFonts w:ascii="Times New Roman" w:hAnsi="Times New Roman"/>
                <w:sz w:val="17"/>
              </w:rPr>
              <w:t>Confirms Sarah’s age and Isaac’s approximate age of 37.</w:t>
            </w:r>
          </w:p>
        </w:tc>
      </w:tr>
      <w:tr>
        <w:tc>
          <w:tcPr>
            <w:tcW w:type="dxa" w:w="3543"/>
            <w:vAlign w:val="center"/>
          </w:tcPr>
          <w:p>
            <w:pPr>
              <w:spacing w:after="0" w:line="240" w:lineRule="auto"/>
            </w:pPr>
            <w:r>
              <w:rPr>
                <w:rFonts w:ascii="Times New Roman" w:hAnsi="Times New Roman"/>
                <w:sz w:val="17"/>
              </w:rPr>
              <w:t>Gen. 23:2</w:t>
            </w:r>
          </w:p>
        </w:tc>
        <w:tc>
          <w:tcPr>
            <w:tcW w:type="dxa" w:w="3543"/>
            <w:vAlign w:val="center"/>
          </w:tcPr>
          <w:p>
            <w:pPr>
              <w:spacing w:after="0" w:line="240" w:lineRule="auto"/>
            </w:pPr>
            <w:r>
              <w:rPr>
                <w:rFonts w:ascii="Times New Roman" w:hAnsi="Times New Roman"/>
                <w:sz w:val="17"/>
              </w:rPr>
              <w:t>Kirjath-arba = Hebron</w:t>
            </w:r>
          </w:p>
        </w:tc>
        <w:tc>
          <w:tcPr>
            <w:tcW w:type="dxa" w:w="3543"/>
            <w:vAlign w:val="center"/>
          </w:tcPr>
          <w:p>
            <w:pPr>
              <w:spacing w:after="0" w:line="240" w:lineRule="auto"/>
            </w:pPr>
            <w:r>
              <w:rPr>
                <w:rFonts w:ascii="Times New Roman" w:hAnsi="Times New Roman"/>
                <w:sz w:val="17"/>
              </w:rPr>
              <w:t>Retains the biblical place identification while separating speculative place symbolism.</w:t>
            </w:r>
          </w:p>
        </w:tc>
      </w:tr>
      <w:tr>
        <w:tc>
          <w:tcPr>
            <w:tcW w:type="dxa" w:w="3543"/>
            <w:vAlign w:val="center"/>
          </w:tcPr>
          <w:p>
            <w:pPr>
              <w:spacing w:after="0" w:line="240" w:lineRule="auto"/>
            </w:pPr>
            <w:r>
              <w:rPr>
                <w:rFonts w:ascii="Times New Roman" w:hAnsi="Times New Roman"/>
                <w:sz w:val="17"/>
              </w:rPr>
              <w:t>Gen. 23:4</w:t>
            </w:r>
          </w:p>
        </w:tc>
        <w:tc>
          <w:tcPr>
            <w:tcW w:type="dxa" w:w="3543"/>
            <w:vAlign w:val="center"/>
          </w:tcPr>
          <w:p>
            <w:pPr>
              <w:spacing w:after="0" w:line="240" w:lineRule="auto"/>
            </w:pPr>
            <w:r>
              <w:rPr>
                <w:rFonts w:ascii="Times New Roman" w:hAnsi="Times New Roman"/>
                <w:sz w:val="17"/>
              </w:rPr>
              <w:t>Heb. 11:13; Acts 7:5</w:t>
            </w:r>
          </w:p>
        </w:tc>
        <w:tc>
          <w:tcPr>
            <w:tcW w:type="dxa" w:w="3543"/>
            <w:vAlign w:val="center"/>
          </w:tcPr>
          <w:p>
            <w:pPr>
              <w:spacing w:after="0" w:line="240" w:lineRule="auto"/>
            </w:pPr>
            <w:r>
              <w:rPr>
                <w:rFonts w:ascii="Times New Roman" w:hAnsi="Times New Roman"/>
                <w:sz w:val="17"/>
              </w:rPr>
              <w:t>Confirms stranger/sojourner theme and non-possession during Abraham’s life.</w:t>
            </w:r>
          </w:p>
        </w:tc>
      </w:tr>
      <w:tr>
        <w:tc>
          <w:tcPr>
            <w:tcW w:type="dxa" w:w="3543"/>
            <w:vAlign w:val="center"/>
          </w:tcPr>
          <w:p>
            <w:pPr>
              <w:spacing w:after="0" w:line="240" w:lineRule="auto"/>
            </w:pPr>
            <w:r>
              <w:rPr>
                <w:rFonts w:ascii="Times New Roman" w:hAnsi="Times New Roman"/>
                <w:sz w:val="17"/>
              </w:rPr>
              <w:t>Gen. 23:6</w:t>
            </w:r>
          </w:p>
        </w:tc>
        <w:tc>
          <w:tcPr>
            <w:tcW w:type="dxa" w:w="3543"/>
            <w:vAlign w:val="center"/>
          </w:tcPr>
          <w:p>
            <w:pPr>
              <w:spacing w:after="0" w:line="240" w:lineRule="auto"/>
            </w:pPr>
            <w:r>
              <w:rPr>
                <w:rFonts w:ascii="Times New Roman" w:hAnsi="Times New Roman"/>
                <w:sz w:val="17"/>
              </w:rPr>
              <w:t>“prince of Elohim”</w:t>
            </w:r>
          </w:p>
        </w:tc>
        <w:tc>
          <w:tcPr>
            <w:tcW w:type="dxa" w:w="3543"/>
            <w:vAlign w:val="center"/>
          </w:tcPr>
          <w:p>
            <w:pPr>
              <w:spacing w:after="0" w:line="240" w:lineRule="auto"/>
            </w:pPr>
            <w:r>
              <w:rPr>
                <w:rFonts w:ascii="Times New Roman" w:hAnsi="Times New Roman"/>
                <w:sz w:val="17"/>
              </w:rPr>
              <w:t>Recovers the literal force behind KJV “mighty prince.”</w:t>
            </w:r>
          </w:p>
        </w:tc>
      </w:tr>
      <w:tr>
        <w:tc>
          <w:tcPr>
            <w:tcW w:type="dxa" w:w="3543"/>
            <w:vAlign w:val="center"/>
          </w:tcPr>
          <w:p>
            <w:pPr>
              <w:spacing w:after="0" w:line="240" w:lineRule="auto"/>
            </w:pPr>
            <w:r>
              <w:rPr>
                <w:rFonts w:ascii="Times New Roman" w:hAnsi="Times New Roman"/>
                <w:sz w:val="17"/>
              </w:rPr>
              <w:t>Gen. 23:9</w:t>
            </w:r>
          </w:p>
        </w:tc>
        <w:tc>
          <w:tcPr>
            <w:tcW w:type="dxa" w:w="3543"/>
            <w:vAlign w:val="center"/>
          </w:tcPr>
          <w:p>
            <w:pPr>
              <w:spacing w:after="0" w:line="240" w:lineRule="auto"/>
            </w:pPr>
            <w:r>
              <w:rPr>
                <w:rFonts w:ascii="Times New Roman" w:hAnsi="Times New Roman"/>
                <w:sz w:val="17"/>
              </w:rPr>
              <w:t>Machpelah; “full money”</w:t>
            </w:r>
          </w:p>
        </w:tc>
        <w:tc>
          <w:tcPr>
            <w:tcW w:type="dxa" w:w="3543"/>
            <w:vAlign w:val="center"/>
          </w:tcPr>
          <w:p>
            <w:pPr>
              <w:spacing w:after="0" w:line="240" w:lineRule="auto"/>
            </w:pPr>
            <w:r>
              <w:rPr>
                <w:rFonts w:ascii="Times New Roman" w:hAnsi="Times New Roman"/>
                <w:sz w:val="17"/>
              </w:rPr>
              <w:t>Recovers the full-price/legal-possession emphasis.</w:t>
            </w:r>
          </w:p>
        </w:tc>
      </w:tr>
      <w:tr>
        <w:tc>
          <w:tcPr>
            <w:tcW w:type="dxa" w:w="3543"/>
            <w:vAlign w:val="center"/>
          </w:tcPr>
          <w:p>
            <w:pPr>
              <w:spacing w:after="0" w:line="240" w:lineRule="auto"/>
            </w:pPr>
            <w:r>
              <w:rPr>
                <w:rFonts w:ascii="Times New Roman" w:hAnsi="Times New Roman"/>
                <w:sz w:val="17"/>
              </w:rPr>
              <w:t>Gen. 23:10</w:t>
            </w:r>
          </w:p>
        </w:tc>
        <w:tc>
          <w:tcPr>
            <w:tcW w:type="dxa" w:w="3543"/>
            <w:vAlign w:val="center"/>
          </w:tcPr>
          <w:p>
            <w:pPr>
              <w:spacing w:after="0" w:line="240" w:lineRule="auto"/>
            </w:pPr>
            <w:r>
              <w:rPr>
                <w:rFonts w:ascii="Times New Roman" w:hAnsi="Times New Roman"/>
                <w:sz w:val="17"/>
              </w:rPr>
              <w:t>Ruth 4:1–11</w:t>
            </w:r>
          </w:p>
        </w:tc>
        <w:tc>
          <w:tcPr>
            <w:tcW w:type="dxa" w:w="3543"/>
            <w:vAlign w:val="center"/>
          </w:tcPr>
          <w:p>
            <w:pPr>
              <w:spacing w:after="0" w:line="240" w:lineRule="auto"/>
            </w:pPr>
            <w:r>
              <w:rPr>
                <w:rFonts w:ascii="Times New Roman" w:hAnsi="Times New Roman"/>
                <w:sz w:val="17"/>
              </w:rPr>
              <w:t>Checks the city gate as public/legal transaction setting.</w:t>
            </w:r>
          </w:p>
        </w:tc>
      </w:tr>
      <w:tr>
        <w:tc>
          <w:tcPr>
            <w:tcW w:type="dxa" w:w="3543"/>
            <w:vAlign w:val="center"/>
          </w:tcPr>
          <w:p>
            <w:pPr>
              <w:spacing w:after="0" w:line="240" w:lineRule="auto"/>
            </w:pPr>
            <w:r>
              <w:rPr>
                <w:rFonts w:ascii="Times New Roman" w:hAnsi="Times New Roman"/>
                <w:sz w:val="17"/>
              </w:rPr>
              <w:t>Gen. 23:15–16</w:t>
            </w:r>
          </w:p>
        </w:tc>
        <w:tc>
          <w:tcPr>
            <w:tcW w:type="dxa" w:w="3543"/>
            <w:vAlign w:val="center"/>
          </w:tcPr>
          <w:p>
            <w:pPr>
              <w:spacing w:after="0" w:line="240" w:lineRule="auto"/>
            </w:pPr>
            <w:r>
              <w:rPr>
                <w:rFonts w:ascii="Times New Roman" w:hAnsi="Times New Roman"/>
                <w:sz w:val="17"/>
              </w:rPr>
              <w:t>shekel as weight</w:t>
            </w:r>
          </w:p>
        </w:tc>
        <w:tc>
          <w:tcPr>
            <w:tcW w:type="dxa" w:w="3543"/>
            <w:vAlign w:val="center"/>
          </w:tcPr>
          <w:p>
            <w:pPr>
              <w:spacing w:after="0" w:line="240" w:lineRule="auto"/>
            </w:pPr>
            <w:r>
              <w:rPr>
                <w:rFonts w:ascii="Times New Roman" w:hAnsi="Times New Roman"/>
                <w:sz w:val="17"/>
              </w:rPr>
              <w:t>Removes anachronistic treatment of the patriarchal shekel as a later minted coin.</w:t>
            </w:r>
          </w:p>
        </w:tc>
      </w:tr>
      <w:tr>
        <w:tc>
          <w:tcPr>
            <w:tcW w:type="dxa" w:w="3543"/>
            <w:vAlign w:val="center"/>
          </w:tcPr>
          <w:p>
            <w:pPr>
              <w:spacing w:after="0" w:line="240" w:lineRule="auto"/>
            </w:pPr>
            <w:r>
              <w:rPr>
                <w:rFonts w:ascii="Times New Roman" w:hAnsi="Times New Roman"/>
                <w:sz w:val="17"/>
              </w:rPr>
              <w:t>Gen. 23:17–18</w:t>
            </w:r>
          </w:p>
        </w:tc>
        <w:tc>
          <w:tcPr>
            <w:tcW w:type="dxa" w:w="3543"/>
            <w:vAlign w:val="center"/>
          </w:tcPr>
          <w:p>
            <w:pPr>
              <w:spacing w:after="0" w:line="240" w:lineRule="auto"/>
            </w:pPr>
            <w:r>
              <w:rPr>
                <w:rFonts w:ascii="Times New Roman" w:hAnsi="Times New Roman"/>
                <w:sz w:val="17"/>
              </w:rPr>
              <w:t>field, cave, trees “made sure”</w:t>
            </w:r>
          </w:p>
        </w:tc>
        <w:tc>
          <w:tcPr>
            <w:tcW w:type="dxa" w:w="3543"/>
            <w:vAlign w:val="center"/>
          </w:tcPr>
          <w:p>
            <w:pPr>
              <w:spacing w:after="0" w:line="240" w:lineRule="auto"/>
            </w:pPr>
            <w:r>
              <w:rPr>
                <w:rFonts w:ascii="Times New Roman" w:hAnsi="Times New Roman"/>
                <w:sz w:val="17"/>
              </w:rPr>
              <w:t>Confirms the title-deed precision and public witnesses.</w:t>
            </w:r>
          </w:p>
        </w:tc>
      </w:tr>
      <w:tr>
        <w:tc>
          <w:tcPr>
            <w:tcW w:type="dxa" w:w="3543"/>
            <w:vAlign w:val="center"/>
          </w:tcPr>
          <w:p>
            <w:pPr>
              <w:spacing w:after="0" w:line="240" w:lineRule="auto"/>
            </w:pPr>
            <w:r>
              <w:rPr>
                <w:rFonts w:ascii="Times New Roman" w:hAnsi="Times New Roman"/>
                <w:sz w:val="17"/>
              </w:rPr>
              <w:t>Gen. 23:19</w:t>
            </w:r>
          </w:p>
        </w:tc>
        <w:tc>
          <w:tcPr>
            <w:tcW w:type="dxa" w:w="3543"/>
            <w:vAlign w:val="center"/>
          </w:tcPr>
          <w:p>
            <w:pPr>
              <w:spacing w:after="0" w:line="240" w:lineRule="auto"/>
            </w:pPr>
            <w:r>
              <w:rPr>
                <w:rFonts w:ascii="Times New Roman" w:hAnsi="Times New Roman"/>
                <w:sz w:val="17"/>
              </w:rPr>
              <w:t>Gen. 25:9; 49:29–32; 50:13</w:t>
            </w:r>
          </w:p>
        </w:tc>
        <w:tc>
          <w:tcPr>
            <w:tcW w:type="dxa" w:w="3543"/>
            <w:vAlign w:val="center"/>
          </w:tcPr>
          <w:p>
            <w:pPr>
              <w:spacing w:after="0" w:line="240" w:lineRule="auto"/>
            </w:pPr>
            <w:r>
              <w:rPr>
                <w:rFonts w:ascii="Times New Roman" w:hAnsi="Times New Roman"/>
                <w:sz w:val="17"/>
              </w:rPr>
              <w:t>Checks the later patriarchal burials associated with Machpelah.</w:t>
            </w:r>
          </w:p>
        </w:tc>
      </w:tr>
      <w:tr>
        <w:tc>
          <w:tcPr>
            <w:tcW w:type="dxa" w:w="3543"/>
            <w:vAlign w:val="center"/>
          </w:tcPr>
          <w:p>
            <w:pPr>
              <w:spacing w:after="0" w:line="240" w:lineRule="auto"/>
            </w:pPr>
            <w:r>
              <w:rPr>
                <w:rFonts w:ascii="Times New Roman" w:hAnsi="Times New Roman"/>
                <w:sz w:val="17"/>
              </w:rPr>
              <w:t>Gen. 23:20</w:t>
            </w:r>
          </w:p>
        </w:tc>
        <w:tc>
          <w:tcPr>
            <w:tcW w:type="dxa" w:w="3543"/>
            <w:vAlign w:val="center"/>
          </w:tcPr>
          <w:p>
            <w:pPr>
              <w:spacing w:after="0" w:line="240" w:lineRule="auto"/>
            </w:pPr>
            <w:r>
              <w:rPr>
                <w:rFonts w:ascii="Times New Roman" w:hAnsi="Times New Roman"/>
                <w:sz w:val="17"/>
              </w:rPr>
              <w:t>Heb. 11:13,39–40</w:t>
            </w:r>
          </w:p>
        </w:tc>
        <w:tc>
          <w:tcPr>
            <w:tcW w:type="dxa" w:w="3543"/>
            <w:vAlign w:val="center"/>
          </w:tcPr>
          <w:p>
            <w:pPr>
              <w:spacing w:after="0" w:line="240" w:lineRule="auto"/>
            </w:pPr>
            <w:r>
              <w:rPr>
                <w:rFonts w:ascii="Times New Roman" w:hAnsi="Times New Roman"/>
                <w:sz w:val="17"/>
              </w:rPr>
              <w:t>Grounds Mansfield’s resurrection-hope reading without claiming the verse explicitly states resurrection.</w:t>
            </w:r>
          </w:p>
        </w:tc>
      </w:tr>
    </w:tbl>
    <w:p>
      <w:pPr>
        <w:pStyle w:val="Heading1"/>
      </w:pPr>
      <w:r>
        <w:t>RESIDUAL UNCERTAINTIES</w:t>
      </w:r>
    </w:p>
    <w:p>
      <w:pPr>
        <w:pStyle w:val="ListBullet"/>
      </w:pPr>
      <w:r>
        <w:t>Mansfield’s numerical symbolism attached to Sarah’s 127 years is preserved only as an expository proposal; Scripture itself does not explain the number in that way.</w:t>
      </w:r>
    </w:p>
    <w:p>
      <w:pPr>
        <w:pStyle w:val="ListBullet"/>
      </w:pPr>
      <w:r>
        <w:t>Some of the published name meanings for Hittite individuals and places derive from older concordances and are not required for the HPB theological argument; uncertain examples have not been asserted as lexical fact.</w:t>
      </w:r>
    </w:p>
    <w:p>
      <w:pPr>
        <w:pStyle w:val="ListBullet"/>
      </w:pPr>
      <w:r>
        <w:t>The precise social convention behind Ephron’s initial gift language is debated. The finished note therefore emphasises the secure narrative fact: Abraham insists upon a witnessed, fully paid purchase.</w:t>
      </w:r>
    </w:p>
    <w:p>
      <w:pPr>
        <w:pStyle w:val="ListBullet"/>
      </w:pPr>
      <w:r>
        <w:t>Mansfield raises Acts 7:15–16 in connection with patriarchal burial traditions. Because that text involves a separate Shechem/Machpelah question, it is not used to alter the straightforward Genesis 23 account.</w:t>
      </w:r>
    </w:p>
    <w:sectPr w:rsidR="00FC693F" w:rsidRPr="0006063C" w:rsidSect="00034616">
      <w:headerReference w:type="default" r:id="rId9"/>
      <w:footerReference w:type="default" r:id="rId10"/>
      <w:pgSz w:w="12240" w:h="15840"/>
      <w:pgMar w:top="806" w:right="806" w:bottom="792" w:left="806" w:header="317"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7"/>
      </w:rPr>
      <w:t>H. P. MANSFIELD BIBLE NOTES  •  GENESIS 23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0"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70"/>
      <w:outlineLvl w:val="0"/>
    </w:pPr>
    <w:rPr>
      <w:rFonts w:asciiTheme="majorHAnsi" w:eastAsiaTheme="majorEastAsia" w:hAnsiTheme="majorHAnsi" w:cstheme="majorBidi" w:ascii="Arial" w:hAnsi="Arial" w:eastAsia="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90" w:after="30"/>
      <w:outlineLvl w:val="1"/>
    </w:pPr>
    <w:rPr>
      <w:rFonts w:asciiTheme="majorHAnsi" w:eastAsiaTheme="majorEastAsia" w:hAnsiTheme="majorHAnsi" w:cstheme="majorBidi" w:ascii="Arial" w:hAnsi="Arial" w:eastAsia="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i/>
      <w:iCs/>
      <w:color w:val="367ED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