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GENESIS 24</w:t>
      </w:r>
    </w:p>
    <w:p>
      <w:pPr>
        <w:pBdr>
          <w:bottom w:val="single" w:sz="12" w:space="1" w:color="4A86E8"/>
        </w:pBdr>
      </w:pPr>
    </w:p>
    <w:p>
      <w:pPr>
        <w:pStyle w:val="Subtitle"/>
        <w:jc w:val="center"/>
      </w:pPr>
      <w:r>
        <w:t>A WIFE FOR ISAAC • PROVIDENCE AT THE WELL • “I AM ABRAHAM’S SERVANT” • “I WILL GO”</w:t>
      </w:r>
    </w:p>
    <w:p>
      <w:pPr>
        <w:jc w:val="center"/>
      </w:pPr>
      <w:r>
        <w:rPr>
          <w:i/>
        </w:rPr>
        <w:t>H. P. Mansfield Bible notes — checked and arranged in verse-by-verse Expositor style</w:t>
      </w:r>
    </w:p>
    <w:p>
      <w:pPr>
        <w:jc w:val="center"/>
      </w:pPr>
      <w:r>
        <w:t>Source: HPB 01-Gen01-Gen41.PDF, Genesis 24 photographed pages 70–73</w:t>
      </w:r>
    </w:p>
    <w:p>
      <w:pPr>
        <w:pStyle w:val="Heading1"/>
      </w:pPr>
      <w:r>
        <w:t>CHAPTER OVERVIEW</w:t>
      </w:r>
    </w:p>
    <w:p>
      <w:r>
        <w:t>Genesis 24 is both a detailed marriage narrative and, in Mansfield’s exposition, “A WIFE FOR ISAAC — Typical foreshadowing of preaching the gospel.” Historically, Abraham commissions a trusted servant to find a wife suitable for Isaac without taking Isaac out of the land of promise. Rebekah is discovered through prayer, character and providence, personally chooses to leave her household, and journeys to a bridegroom she has not yet seen.</w:t>
      </w:r>
    </w:p>
    <w:p>
      <w:r>
        <w:t>Mansfield’s type is sustained but kept distinct from the history: Abraham represents the father, Isaac the promised son and bridegroom, the unnamed servant the faithful messenger, and Rebekah the bride called by the message. The chapter’s practical emphasis is on separation, prayer joined with work, faithful transmission of the master’s message, thanksgiving, and personal decision.</w:t>
      </w:r>
    </w:p>
    <w:p>
      <w:pPr>
        <w:pStyle w:val="Heading1"/>
      </w:pPr>
      <w:r>
        <w:t>THE COMMISSION — GENESIS 24:1–9</w:t>
      </w:r>
    </w:p>
    <w:p>
      <w:pPr>
        <w:pStyle w:val="Heading2"/>
      </w:pPr>
      <w:r>
        <w:t>Genesis 24:1–2 — Abraham and his eldest servant</w:t>
      </w:r>
    </w:p>
    <w:p>
      <w:r>
        <w:t>Abraham is old and blessed “in all things.” Genesis 25:20 later states that Isaac was forty when he married Rebekah, so Abraham was about 140. The servant is not named in Genesis 24. Mansfield reasonably identifies him with Eliezer of Damascus from Genesis 15:2, but the finished note preserves this as a probability, not a textual fact.</w:t>
      </w:r>
    </w:p>
    <w:p>
      <w:r>
        <w:t>The servant “ruled over all that he had,” fitting Mansfield’s emphasis that the messenger has access to the master’s resources but must use them faithfully. The hand-under-thigh oath also appears in Genesis 47:29. Mansfield connects the gesture with posterity and circumcision/covenant. The precise ancient social meaning is not fully recoverable, so the secure point is a solemn oath bound up with Abraham’s family future.</w:t>
      </w:r>
    </w:p>
    <w:p>
      <w:pPr>
        <w:pStyle w:val="Heading2"/>
      </w:pPr>
      <w:r>
        <w:t>Genesis 24:3–4 — no Canaanite wife</w:t>
      </w:r>
    </w:p>
    <w:p>
      <w:r>
        <w:t>Abraham requires the servant to swear by Yahweh that he will not take a wife for Isaac from the daughters of the Canaanites, but will go to Abraham’s country and kindred. Mansfield stresses covenant separateness. In application, he connects the principle with marriage “in the Lord” (1 Corinthians 7:39), while recognising that the historical instruction belongs specifically to the patriarchal promise line.</w:t>
      </w:r>
    </w:p>
    <w:p>
      <w:pPr>
        <w:pStyle w:val="Heading2"/>
      </w:pPr>
      <w:r>
        <w:t>Genesis 24:5–6 — Isaac must not be taken back</w:t>
      </w:r>
    </w:p>
    <w:p>
      <w:r>
        <w:t>The servant asks whether Isaac should be taken to Mesopotamia if the woman refuses to come. Abraham’s answer is emphatic: “Beware thou that thou bring not my son thither again.” Mansfield treats this as central to the type: the bride is called to the promised son; the standard is not lowered by moving the son away from the land of promise.</w:t>
      </w:r>
    </w:p>
    <w:p>
      <w:pPr>
        <w:pStyle w:val="Heading2"/>
      </w:pPr>
      <w:r>
        <w:t>Genesis 24:7–9 — Divine guidance and voluntary response</w:t>
      </w:r>
    </w:p>
    <w:p>
      <w:r>
        <w:t>Abraham appeals to the God of heaven who called him and promised the land: “he shall send his angel before thee.” Hebrews 1:14 supports Mansfield’s general emphasis on angelic ministry, though Genesis does not describe the angel’s hidden actions. If the woman will not follow, the servant is released from the oath; coercion is excluded. The servant then swears and accepts the commission.</w:t>
      </w:r>
    </w:p>
    <w:p>
      <w:pPr>
        <w:pStyle w:val="Heading1"/>
      </w:pPr>
      <w:r>
        <w:t>PRAYER AT THE WELL — GENESIS 24:10–21</w:t>
      </w:r>
    </w:p>
    <w:p>
      <w:pPr>
        <w:pStyle w:val="Heading2"/>
      </w:pPr>
      <w:r>
        <w:t>Genesis 24:10–12 — preparation and prayer</w:t>
      </w:r>
    </w:p>
    <w:p>
      <w:r>
        <w:t>The servant takes ten camels and goods from Abraham and travels to Mesopotamia, to the city associated with Nahor. He does not choose between practical preparation and dependence upon God: he uses the resources available, selects the public well at the time women come to draw water, and then prays specifically for success. Mansfield compares this pattern with Nehemiah 4:9: prayer and responsible action belong together.</w:t>
      </w:r>
    </w:p>
    <w:p>
      <w:pPr>
        <w:pStyle w:val="Heading2"/>
      </w:pPr>
      <w:r>
        <w:t>Genesis 24:13–14 — a sign of character, not magic</w:t>
      </w:r>
    </w:p>
    <w:p>
      <w:r>
        <w:t>The requested sign is morally intelligible. The chosen na‘arah, a young woman, is to give the stranger water and voluntarily offer to water his camels also. Mansfield emphasises kindness, energy and service. The prayer therefore asks Providence to identify the appointed woman through observable character rather than through an arbitrary omen.</w:t>
      </w:r>
    </w:p>
    <w:p>
      <w:pPr>
        <w:pStyle w:val="Heading2"/>
      </w:pPr>
      <w:r>
        <w:t>Genesis 24:15–20 — “before he had done speaking”</w:t>
      </w:r>
    </w:p>
    <w:p>
      <w:r>
        <w:t>Before the prayer is finished, Rebekah arrives. Genesis 22:23 has already introduced her as Bethuel’s daughter, so the reader sees the providential preparation before the servant knows it. Rebekah gives him water, then offers to draw for all ten camels. The repeated “she hasted” and “ran again” reveal the energetic generosity Mansfield sees as decisive character evidence.</w:t>
      </w:r>
    </w:p>
    <w:p>
      <w:r>
        <w:t>Mansfield’s published material derives Rebekah’s name from an image of a rope/noose and then develops beauty symbolism from it. That older etymology is uncertain and is not needed for the narrative argument; the secure evidence for Rebekah’s suitability is her lineage, chastity, hospitality, initiative and willingness.</w:t>
      </w:r>
    </w:p>
    <w:p>
      <w:pPr>
        <w:pStyle w:val="Heading2"/>
      </w:pPr>
      <w:r>
        <w:t>Genesis 24:21 — restraint after prayer</w:t>
      </w:r>
    </w:p>
    <w:p>
      <w:r>
        <w:t>The servant watches silently to learn whether Yahweh has prospered the journey. Mansfield values the restraint: even after an extraordinary correspondence with his prayer, he waits for the remaining facts. Faith does not require forcing every event into a preconceived interpretation.</w:t>
      </w:r>
    </w:p>
    <w:p>
      <w:pPr>
        <w:pStyle w:val="Heading1"/>
      </w:pPr>
      <w:r>
        <w:t>PROVIDENCE RECOGNISED — GENESIS 24:22–33</w:t>
      </w:r>
    </w:p>
    <w:p>
      <w:pPr>
        <w:pStyle w:val="Heading2"/>
      </w:pPr>
      <w:r>
        <w:t>Genesis 24:22–27 — identity, hospitality and thanksgiving</w:t>
      </w:r>
    </w:p>
    <w:p>
      <w:r>
        <w:t>After Rebekah’s service, the servant gives jewellery and asks her family identity and whether lodging is available. She identifies herself as Bethuel’s daughter and offers both room and provisions. The servant immediately bows and worships. Mansfield recovers the words chesed (“kindness/steadfast love”) and emeth (“truth/faithfulness”) in verse 27 and stresses the confession: “I being in the way, Yahweh led me.” Guidance came as he walked responsibly in the appointed way.</w:t>
      </w:r>
    </w:p>
    <w:p>
      <w:pPr>
        <w:pStyle w:val="Heading2"/>
      </w:pPr>
      <w:r>
        <w:t>Genesis 24:28–31 — Laban comes to the well</w:t>
      </w:r>
    </w:p>
    <w:p>
      <w:r>
        <w:t>Rebekah runs home, and Laban comes after seeing the jewellery and hearing her report. Mansfield suspects material interest in Laban, especially in light of his later conduct with Jacob. Genesis 24 itself, however, does not state his motive, so the finished note keeps that suspicion explicitly tentative.</w:t>
      </w:r>
    </w:p>
    <w:p>
      <w:pPr>
        <w:pStyle w:val="Heading2"/>
      </w:pPr>
      <w:r>
        <w:t>Genesis 24:32–33 — the errand before the meal</w:t>
      </w:r>
    </w:p>
    <w:p>
      <w:r>
        <w:t>The household cares for the camels and travellers, but the servant refuses to eat until he has stated his errand. The mission comes before personal comfort. Mansfield heads this section “PREACHING THE GOSPEL,” seeing in the servant a messenger whose task must not be displaced by social enjoyment.</w:t>
      </w:r>
    </w:p>
    <w:p>
      <w:pPr>
        <w:pStyle w:val="Heading1"/>
      </w:pPr>
      <w:r>
        <w:t>THE SERVANT DELIVERS HIS MASTER’S MESSAGE — GENESIS 24:34–53</w:t>
      </w:r>
    </w:p>
    <w:p>
      <w:pPr>
        <w:pStyle w:val="Heading2"/>
      </w:pPr>
      <w:r>
        <w:t>Genesis 24:34–41 — “I am Abraham’s servant”</w:t>
      </w:r>
    </w:p>
    <w:p>
      <w:r>
        <w:t>The servant begins not with himself but with his master: “I am Abraham’s servant.” He recounts Yahweh’s blessing of Abraham, Sarah’s son in old age, Isaac’s inheritance, the oath, the prohibition against a Canaanite wife and the assurance of angelic guidance. Mansfield repeatedly notes the absence of self-advertisement: a faithful messenger transmits the master’s message accurately.</w:t>
      </w:r>
    </w:p>
    <w:p>
      <w:pPr>
        <w:pStyle w:val="Heading2"/>
      </w:pPr>
      <w:r>
        <w:t>Genesis 24:42–48 — testimony to the answered prayer</w:t>
      </w:r>
    </w:p>
    <w:p>
      <w:r>
        <w:t>The servant retells the prayer at the well and Rebekah’s exact response. The repetition is not pointless duplication; it is his evidence that the meeting has unfolded in accordance with the specific request. He again worships Yahweh who led him “in the right way.”</w:t>
      </w:r>
    </w:p>
    <w:p>
      <w:pPr>
        <w:pStyle w:val="Heading2"/>
      </w:pPr>
      <w:r>
        <w:t>Genesis 24:49–51 — the appeal requires a decision</w:t>
      </w:r>
    </w:p>
    <w:p>
      <w:r>
        <w:t>The account now becomes an appeal: “if ye will deal kindly and truly with my master, tell me: and if not, tell me.” Laban and Bethuel answer that “the thing proceedeth from Yahweh” and agree that Rebekah may become Isaac’s wife. Mansfield compares the structure with Gospel preaching: explanation is followed by a genuine call for response.</w:t>
      </w:r>
    </w:p>
    <w:p>
      <w:pPr>
        <w:pStyle w:val="Heading2"/>
      </w:pPr>
      <w:r>
        <w:t>Genesis 24:52–53 — worship and gifts</w:t>
      </w:r>
    </w:p>
    <w:p>
      <w:r>
        <w:t>The servant worships again and gives Rebekah silver, gold and clothing, with precious gifts also to her family. Mansfield uses the gifts typologically for benefits associated with the bridegroom, but historically they also confirm the wealth and seriousness of Abraham’s household and the formal character of the betrothal arrangement.</w:t>
      </w:r>
    </w:p>
    <w:p>
      <w:pPr>
        <w:pStyle w:val="Heading1"/>
      </w:pPr>
      <w:r>
        <w:t>“I WILL GO” — GENESIS 24:54–61</w:t>
      </w:r>
    </w:p>
    <w:p>
      <w:pPr>
        <w:pStyle w:val="Heading2"/>
      </w:pPr>
      <w:r>
        <w:t>Genesis 24:54–56 — “Hinder me not”</w:t>
      </w:r>
    </w:p>
    <w:p>
      <w:r>
        <w:t>After the meal the servant asks to depart. Rebekah’s family seeks delay, but he insists that the journey should not be hindered now that Yahweh has prospered it. Mansfield applies the urgency to response to Divine calling: delay can become a practical refusal.</w:t>
      </w:r>
    </w:p>
    <w:p>
      <w:pPr>
        <w:pStyle w:val="Heading2"/>
      </w:pPr>
      <w:r>
        <w:t>Genesis 24:57–58 — Rebekah’s personal answer</w:t>
      </w:r>
    </w:p>
    <w:p>
      <w:r>
        <w:t>The family finally asks Rebekah herself: “Wilt thou go with this man?” Her answer — “I will go” — is one of Mansfield’s strongest emphases in the chapter. Whatever family negotiations have occurred, the final departure is personally accepted. Mansfield compares Psalm 45:10–11: leaving one’s people and father’s house for the bridegroom.</w:t>
      </w:r>
    </w:p>
    <w:p>
      <w:pPr>
        <w:pStyle w:val="Heading2"/>
      </w:pPr>
      <w:r>
        <w:t>Genesis 24:59–61 — a new pilgrimage</w:t>
      </w:r>
    </w:p>
    <w:p>
      <w:r>
        <w:t>Rebekah leaves with her nurse, maidens and the servant. The family blessing echoes Genesis 22:17: multiplication and possession of the enemies’ gate. Mansfield describes Rebekah as repeating Abraham’s journey — leaving family and homeland for the promise — and in that spiritual sense becoming a “Hebrew,” one who crosses over.</w:t>
      </w:r>
    </w:p>
    <w:p>
      <w:pPr>
        <w:pStyle w:val="Heading1"/>
      </w:pPr>
      <w:r>
        <w:t>MEETING ISAAC — GENESIS 24:62–67</w:t>
      </w:r>
    </w:p>
    <w:p>
      <w:pPr>
        <w:pStyle w:val="Heading2"/>
      </w:pPr>
      <w:r>
        <w:t>Genesis 24:62–64 — the bridegroom at eventide</w:t>
      </w:r>
    </w:p>
    <w:p>
      <w:r>
        <w:t>Isaac is associated with Beer-lahai-roi, “the well of the Living One who sees me,” from Genesis 16:14. He goes into the field at eventide to “meditate.” The Hebrew suach occurs only here and its exact nuance is debated; older margins and Mansfield connect it with prayer, while “meditate” remains the KJV rendering. Rebekah sees Isaac at journey’s end and alights from the camel.</w:t>
      </w:r>
    </w:p>
    <w:p>
      <w:pPr>
        <w:pStyle w:val="Heading2"/>
      </w:pPr>
      <w:r>
        <w:t>Genesis 24:65 — the veil</w:t>
      </w:r>
    </w:p>
    <w:p>
      <w:r>
        <w:t>When the servant identifies the approaching man as his master, Rebekah takes a veil and covers herself. Mansfield reads the act as modesty and subjection in the marriage setting. He also connects the unseen bridegroom motif with 1 Peter 1:8 — loving one not yet seen — but this is typological application rather than the literal explanation of Rebekah’s feelings.</w:t>
      </w:r>
    </w:p>
    <w:p>
      <w:pPr>
        <w:pStyle w:val="Heading2"/>
      </w:pPr>
      <w:r>
        <w:t>Genesis 24:66–67 — mission complete and marriage</w:t>
      </w:r>
    </w:p>
    <w:p>
      <w:r>
        <w:t>The servant reports “all things that he had done,” completing his commission by delivering the bride and giving account. Isaac brings Rebekah into Sarah’s tent, takes her as wife and loves her. Genesis 25:20 confirms Isaac was forty. Since Sarah died when Isaac was about thirty-seven (Genesis 23:1; compare 17:17), the marriage comes about three years after her death. Rebekah thus enters the covenant household, and Isaac is comforted.</w:t>
      </w:r>
    </w:p>
    <w:p>
      <w:pPr>
        <w:pStyle w:val="Heading1"/>
      </w:pPr>
      <w:r>
        <w:t>PRINCIPAL THEMES</w:t>
      </w:r>
    </w:p>
    <w:p>
      <w:pPr>
        <w:spacing w:after="24"/>
      </w:pPr>
      <w:r>
        <w:rPr>
          <w:b/>
        </w:rPr>
        <w:t xml:space="preserve">Separation protects the promise. </w:t>
      </w:r>
      <w:r>
        <w:t>Isaac is not to be joined to Canaan or removed from the promised land.</w:t>
      </w:r>
    </w:p>
    <w:p>
      <w:pPr>
        <w:spacing w:after="24"/>
      </w:pPr>
      <w:r>
        <w:rPr>
          <w:b/>
        </w:rPr>
        <w:t xml:space="preserve">Prayer and action cooperate. </w:t>
      </w:r>
      <w:r>
        <w:t>The servant prepares carefully and then asks for Divine guidance.</w:t>
      </w:r>
    </w:p>
    <w:p>
      <w:pPr>
        <w:spacing w:after="24"/>
      </w:pPr>
      <w:r>
        <w:rPr>
          <w:b/>
        </w:rPr>
        <w:t xml:space="preserve">Character is visible in service. </w:t>
      </w:r>
      <w:r>
        <w:t>Rebekah’s haste, labour and generosity answer the servant’s prayer.</w:t>
      </w:r>
    </w:p>
    <w:p>
      <w:pPr>
        <w:spacing w:after="24"/>
      </w:pPr>
      <w:r>
        <w:rPr>
          <w:b/>
        </w:rPr>
        <w:t xml:space="preserve">Providence should produce thanksgiving. </w:t>
      </w:r>
      <w:r>
        <w:t>The servant repeatedly worships when guidance becomes clear.</w:t>
      </w:r>
    </w:p>
    <w:p>
      <w:pPr>
        <w:spacing w:after="24"/>
      </w:pPr>
      <w:r>
        <w:rPr>
          <w:b/>
        </w:rPr>
        <w:t xml:space="preserve">The messenger serves the master. </w:t>
      </w:r>
      <w:r>
        <w:t>“I am Abraham’s servant” captures faithful proclamation without self-promotion.</w:t>
      </w:r>
    </w:p>
    <w:p>
      <w:pPr>
        <w:spacing w:after="24"/>
      </w:pPr>
      <w:r>
        <w:rPr>
          <w:b/>
        </w:rPr>
        <w:t xml:space="preserve">The call demands a personal answer. </w:t>
      </w:r>
      <w:r>
        <w:t>Rebekah’s “I will go” cannot be supplied by her family for her.</w:t>
      </w:r>
    </w:p>
    <w:p>
      <w:pPr>
        <w:spacing w:after="24"/>
      </w:pPr>
      <w:r>
        <w:rPr>
          <w:b/>
        </w:rPr>
        <w:t xml:space="preserve">Faith journeys toward the unseen. </w:t>
      </w:r>
      <w:r>
        <w:t>Mansfield’s bridegroom type culminates when Rebekah meets Isaac at eventide.</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vAlign w:val="center"/>
          </w:tcPr>
          <w:p>
            <w:pPr>
              <w:spacing w:after="0" w:line="240" w:lineRule="auto"/>
            </w:pPr>
            <w:r>
              <w:rPr>
                <w:rFonts w:ascii="Times New Roman" w:hAnsi="Times New Roman"/>
                <w:b/>
                <w:sz w:val="16"/>
              </w:rPr>
              <w:t>Location</w:t>
            </w:r>
          </w:p>
        </w:tc>
        <w:tc>
          <w:tcPr>
            <w:tcW w:type="dxa" w:w="3552"/>
            <w:vAlign w:val="center"/>
          </w:tcPr>
          <w:p>
            <w:pPr>
              <w:spacing w:after="0" w:line="240" w:lineRule="auto"/>
            </w:pPr>
            <w:r>
              <w:rPr>
                <w:rFonts w:ascii="Times New Roman" w:hAnsi="Times New Roman"/>
                <w:b/>
                <w:sz w:val="16"/>
              </w:rPr>
              <w:t>Checked / corrected reading</w:t>
            </w:r>
          </w:p>
        </w:tc>
        <w:tc>
          <w:tcPr>
            <w:tcW w:type="dxa" w:w="3552"/>
            <w:vAlign w:val="center"/>
          </w:tcPr>
          <w:p>
            <w:pPr>
              <w:spacing w:after="0" w:line="240" w:lineRule="auto"/>
            </w:pPr>
            <w:r>
              <w:rPr>
                <w:rFonts w:ascii="Times New Roman" w:hAnsi="Times New Roman"/>
                <w:b/>
                <w:sz w:val="16"/>
              </w:rPr>
              <w:t>Basis</w:t>
            </w:r>
          </w:p>
        </w:tc>
      </w:tr>
      <w:tr>
        <w:tc>
          <w:tcPr>
            <w:tcW w:type="dxa" w:w="3552"/>
            <w:vAlign w:val="center"/>
          </w:tcPr>
          <w:p>
            <w:pPr>
              <w:spacing w:after="0" w:line="240" w:lineRule="auto"/>
            </w:pPr>
            <w:r>
              <w:rPr>
                <w:rFonts w:ascii="Times New Roman" w:hAnsi="Times New Roman"/>
                <w:sz w:val="16"/>
              </w:rPr>
              <w:t>Gen. 24:1–2</w:t>
            </w:r>
          </w:p>
        </w:tc>
        <w:tc>
          <w:tcPr>
            <w:tcW w:type="dxa" w:w="3552"/>
            <w:vAlign w:val="center"/>
          </w:tcPr>
          <w:p>
            <w:pPr>
              <w:spacing w:after="0" w:line="240" w:lineRule="auto"/>
            </w:pPr>
            <w:r>
              <w:rPr>
                <w:rFonts w:ascii="Times New Roman" w:hAnsi="Times New Roman"/>
                <w:sz w:val="16"/>
              </w:rPr>
              <w:t>Gen. 15:2; 25:20</w:t>
            </w:r>
          </w:p>
        </w:tc>
        <w:tc>
          <w:tcPr>
            <w:tcW w:type="dxa" w:w="3552"/>
            <w:vAlign w:val="center"/>
          </w:tcPr>
          <w:p>
            <w:pPr>
              <w:spacing w:after="0" w:line="240" w:lineRule="auto"/>
            </w:pPr>
            <w:r>
              <w:rPr>
                <w:rFonts w:ascii="Times New Roman" w:hAnsi="Times New Roman"/>
                <w:sz w:val="16"/>
              </w:rPr>
              <w:t>Servant may be Eliezer, but Genesis 24 deliberately leaves him unnamed; Abraham about 140, Isaac 40.</w:t>
            </w:r>
          </w:p>
        </w:tc>
      </w:tr>
      <w:tr>
        <w:tc>
          <w:tcPr>
            <w:tcW w:type="dxa" w:w="3552"/>
            <w:vAlign w:val="center"/>
          </w:tcPr>
          <w:p>
            <w:pPr>
              <w:spacing w:after="0" w:line="240" w:lineRule="auto"/>
            </w:pPr>
            <w:r>
              <w:rPr>
                <w:rFonts w:ascii="Times New Roman" w:hAnsi="Times New Roman"/>
                <w:sz w:val="16"/>
              </w:rPr>
              <w:t>Gen. 24:2</w:t>
            </w:r>
          </w:p>
        </w:tc>
        <w:tc>
          <w:tcPr>
            <w:tcW w:type="dxa" w:w="3552"/>
            <w:vAlign w:val="center"/>
          </w:tcPr>
          <w:p>
            <w:pPr>
              <w:spacing w:after="0" w:line="240" w:lineRule="auto"/>
            </w:pPr>
            <w:r>
              <w:rPr>
                <w:rFonts w:ascii="Times New Roman" w:hAnsi="Times New Roman"/>
                <w:sz w:val="16"/>
              </w:rPr>
              <w:t>Gen. 47:29</w:t>
            </w:r>
          </w:p>
        </w:tc>
        <w:tc>
          <w:tcPr>
            <w:tcW w:type="dxa" w:w="3552"/>
            <w:vAlign w:val="center"/>
          </w:tcPr>
          <w:p>
            <w:pPr>
              <w:spacing w:after="0" w:line="240" w:lineRule="auto"/>
            </w:pPr>
            <w:r>
              <w:rPr>
                <w:rFonts w:ascii="Times New Roman" w:hAnsi="Times New Roman"/>
                <w:sz w:val="16"/>
              </w:rPr>
              <w:t>Confirms hand-under-thigh as solemn oath gesture; precise ritual meaning kept cautious.</w:t>
            </w:r>
          </w:p>
        </w:tc>
      </w:tr>
      <w:tr>
        <w:tc>
          <w:tcPr>
            <w:tcW w:type="dxa" w:w="3552"/>
            <w:vAlign w:val="center"/>
          </w:tcPr>
          <w:p>
            <w:pPr>
              <w:spacing w:after="0" w:line="240" w:lineRule="auto"/>
            </w:pPr>
            <w:r>
              <w:rPr>
                <w:rFonts w:ascii="Times New Roman" w:hAnsi="Times New Roman"/>
                <w:sz w:val="16"/>
              </w:rPr>
              <w:t>Gen. 24:3–6</w:t>
            </w:r>
          </w:p>
        </w:tc>
        <w:tc>
          <w:tcPr>
            <w:tcW w:type="dxa" w:w="3552"/>
            <w:vAlign w:val="center"/>
          </w:tcPr>
          <w:p>
            <w:pPr>
              <w:spacing w:after="0" w:line="240" w:lineRule="auto"/>
            </w:pPr>
            <w:r>
              <w:rPr>
                <w:rFonts w:ascii="Times New Roman" w:hAnsi="Times New Roman"/>
                <w:sz w:val="16"/>
              </w:rPr>
              <w:t>1 Cor. 7:39</w:t>
            </w:r>
          </w:p>
        </w:tc>
        <w:tc>
          <w:tcPr>
            <w:tcW w:type="dxa" w:w="3552"/>
            <w:vAlign w:val="center"/>
          </w:tcPr>
          <w:p>
            <w:pPr>
              <w:spacing w:after="0" w:line="240" w:lineRule="auto"/>
            </w:pPr>
            <w:r>
              <w:rPr>
                <w:rFonts w:ascii="Times New Roman" w:hAnsi="Times New Roman"/>
                <w:sz w:val="16"/>
              </w:rPr>
              <w:t>Checks Mansfield’s separation application while preserving the patriarchal context.</w:t>
            </w:r>
          </w:p>
        </w:tc>
      </w:tr>
      <w:tr>
        <w:tc>
          <w:tcPr>
            <w:tcW w:type="dxa" w:w="3552"/>
            <w:vAlign w:val="center"/>
          </w:tcPr>
          <w:p>
            <w:pPr>
              <w:spacing w:after="0" w:line="240" w:lineRule="auto"/>
            </w:pPr>
            <w:r>
              <w:rPr>
                <w:rFonts w:ascii="Times New Roman" w:hAnsi="Times New Roman"/>
                <w:sz w:val="16"/>
              </w:rPr>
              <w:t>Gen. 24:7</w:t>
            </w:r>
          </w:p>
        </w:tc>
        <w:tc>
          <w:tcPr>
            <w:tcW w:type="dxa" w:w="3552"/>
            <w:vAlign w:val="center"/>
          </w:tcPr>
          <w:p>
            <w:pPr>
              <w:spacing w:after="0" w:line="240" w:lineRule="auto"/>
            </w:pPr>
            <w:r>
              <w:rPr>
                <w:rFonts w:ascii="Times New Roman" w:hAnsi="Times New Roman"/>
                <w:sz w:val="16"/>
              </w:rPr>
              <w:t>Heb. 1:14</w:t>
            </w:r>
          </w:p>
        </w:tc>
        <w:tc>
          <w:tcPr>
            <w:tcW w:type="dxa" w:w="3552"/>
            <w:vAlign w:val="center"/>
          </w:tcPr>
          <w:p>
            <w:pPr>
              <w:spacing w:after="0" w:line="240" w:lineRule="auto"/>
            </w:pPr>
            <w:r>
              <w:rPr>
                <w:rFonts w:ascii="Times New Roman" w:hAnsi="Times New Roman"/>
                <w:sz w:val="16"/>
              </w:rPr>
              <w:t>Supports general angelic-ministry theme without inventing unseen details.</w:t>
            </w:r>
          </w:p>
        </w:tc>
      </w:tr>
      <w:tr>
        <w:tc>
          <w:tcPr>
            <w:tcW w:type="dxa" w:w="3552"/>
            <w:vAlign w:val="center"/>
          </w:tcPr>
          <w:p>
            <w:pPr>
              <w:spacing w:after="0" w:line="240" w:lineRule="auto"/>
            </w:pPr>
            <w:r>
              <w:rPr>
                <w:rFonts w:ascii="Times New Roman" w:hAnsi="Times New Roman"/>
                <w:sz w:val="16"/>
              </w:rPr>
              <w:t>Gen. 24:14</w:t>
            </w:r>
          </w:p>
        </w:tc>
        <w:tc>
          <w:tcPr>
            <w:tcW w:type="dxa" w:w="3552"/>
            <w:vAlign w:val="center"/>
          </w:tcPr>
          <w:p>
            <w:pPr>
              <w:spacing w:after="0" w:line="240" w:lineRule="auto"/>
            </w:pPr>
            <w:r>
              <w:rPr>
                <w:rFonts w:ascii="Times New Roman" w:hAnsi="Times New Roman"/>
                <w:sz w:val="16"/>
              </w:rPr>
              <w:t>na‘arah</w:t>
            </w:r>
          </w:p>
        </w:tc>
        <w:tc>
          <w:tcPr>
            <w:tcW w:type="dxa" w:w="3552"/>
            <w:vAlign w:val="center"/>
          </w:tcPr>
          <w:p>
            <w:pPr>
              <w:spacing w:after="0" w:line="240" w:lineRule="auto"/>
            </w:pPr>
            <w:r>
              <w:rPr>
                <w:rFonts w:ascii="Times New Roman" w:hAnsi="Times New Roman"/>
                <w:sz w:val="16"/>
              </w:rPr>
              <w:t>Recovers young-woman term and character-based nature of the requested sign.</w:t>
            </w:r>
          </w:p>
        </w:tc>
      </w:tr>
      <w:tr>
        <w:tc>
          <w:tcPr>
            <w:tcW w:type="dxa" w:w="3552"/>
            <w:vAlign w:val="center"/>
          </w:tcPr>
          <w:p>
            <w:pPr>
              <w:spacing w:after="0" w:line="240" w:lineRule="auto"/>
            </w:pPr>
            <w:r>
              <w:rPr>
                <w:rFonts w:ascii="Times New Roman" w:hAnsi="Times New Roman"/>
                <w:sz w:val="16"/>
              </w:rPr>
              <w:t>Gen. 24:15–20</w:t>
            </w:r>
          </w:p>
        </w:tc>
        <w:tc>
          <w:tcPr>
            <w:tcW w:type="dxa" w:w="3552"/>
            <w:vAlign w:val="center"/>
          </w:tcPr>
          <w:p>
            <w:pPr>
              <w:spacing w:after="0" w:line="240" w:lineRule="auto"/>
            </w:pPr>
            <w:r>
              <w:rPr>
                <w:rFonts w:ascii="Times New Roman" w:hAnsi="Times New Roman"/>
                <w:sz w:val="16"/>
              </w:rPr>
              <w:t>Gen. 22:23</w:t>
            </w:r>
          </w:p>
        </w:tc>
        <w:tc>
          <w:tcPr>
            <w:tcW w:type="dxa" w:w="3552"/>
            <w:vAlign w:val="center"/>
          </w:tcPr>
          <w:p>
            <w:pPr>
              <w:spacing w:after="0" w:line="240" w:lineRule="auto"/>
            </w:pPr>
            <w:r>
              <w:rPr>
                <w:rFonts w:ascii="Times New Roman" w:hAnsi="Times New Roman"/>
                <w:sz w:val="16"/>
              </w:rPr>
              <w:t>Confirms Rebekah’s lineage and the providential “before he had done speaking” sequence.</w:t>
            </w:r>
          </w:p>
        </w:tc>
      </w:tr>
      <w:tr>
        <w:tc>
          <w:tcPr>
            <w:tcW w:type="dxa" w:w="3552"/>
            <w:vAlign w:val="center"/>
          </w:tcPr>
          <w:p>
            <w:pPr>
              <w:spacing w:after="0" w:line="240" w:lineRule="auto"/>
            </w:pPr>
            <w:r>
              <w:rPr>
                <w:rFonts w:ascii="Times New Roman" w:hAnsi="Times New Roman"/>
                <w:sz w:val="16"/>
              </w:rPr>
              <w:t>Gen. 24:27</w:t>
            </w:r>
          </w:p>
        </w:tc>
        <w:tc>
          <w:tcPr>
            <w:tcW w:type="dxa" w:w="3552"/>
            <w:vAlign w:val="center"/>
          </w:tcPr>
          <w:p>
            <w:pPr>
              <w:spacing w:after="0" w:line="240" w:lineRule="auto"/>
            </w:pPr>
            <w:r>
              <w:rPr>
                <w:rFonts w:ascii="Times New Roman" w:hAnsi="Times New Roman"/>
                <w:sz w:val="16"/>
              </w:rPr>
              <w:t>chesed; emeth</w:t>
            </w:r>
          </w:p>
        </w:tc>
        <w:tc>
          <w:tcPr>
            <w:tcW w:type="dxa" w:w="3552"/>
            <w:vAlign w:val="center"/>
          </w:tcPr>
          <w:p>
            <w:pPr>
              <w:spacing w:after="0" w:line="240" w:lineRule="auto"/>
            </w:pPr>
            <w:r>
              <w:rPr>
                <w:rFonts w:ascii="Times New Roman" w:hAnsi="Times New Roman"/>
                <w:sz w:val="16"/>
              </w:rPr>
              <w:t>Recovers “mercy/kindness” and “truth/faithfulness” in the thanksgiving.</w:t>
            </w:r>
          </w:p>
        </w:tc>
      </w:tr>
      <w:tr>
        <w:tc>
          <w:tcPr>
            <w:tcW w:type="dxa" w:w="3552"/>
            <w:vAlign w:val="center"/>
          </w:tcPr>
          <w:p>
            <w:pPr>
              <w:spacing w:after="0" w:line="240" w:lineRule="auto"/>
            </w:pPr>
            <w:r>
              <w:rPr>
                <w:rFonts w:ascii="Times New Roman" w:hAnsi="Times New Roman"/>
                <w:sz w:val="16"/>
              </w:rPr>
              <w:t>Gen. 24:28–31</w:t>
            </w:r>
          </w:p>
        </w:tc>
        <w:tc>
          <w:tcPr>
            <w:tcW w:type="dxa" w:w="3552"/>
            <w:vAlign w:val="center"/>
          </w:tcPr>
          <w:p>
            <w:pPr>
              <w:spacing w:after="0" w:line="240" w:lineRule="auto"/>
            </w:pPr>
            <w:r>
              <w:rPr>
                <w:rFonts w:ascii="Times New Roman" w:hAnsi="Times New Roman"/>
                <w:sz w:val="16"/>
              </w:rPr>
              <w:t>Laban motive</w:t>
            </w:r>
          </w:p>
        </w:tc>
        <w:tc>
          <w:tcPr>
            <w:tcW w:type="dxa" w:w="3552"/>
            <w:vAlign w:val="center"/>
          </w:tcPr>
          <w:p>
            <w:pPr>
              <w:spacing w:after="0" w:line="240" w:lineRule="auto"/>
            </w:pPr>
            <w:r>
              <w:rPr>
                <w:rFonts w:ascii="Times New Roman" w:hAnsi="Times New Roman"/>
                <w:sz w:val="16"/>
              </w:rPr>
              <w:t>Marks material-interest interpretation as inference, not stated fact.</w:t>
            </w:r>
          </w:p>
        </w:tc>
      </w:tr>
      <w:tr>
        <w:tc>
          <w:tcPr>
            <w:tcW w:type="dxa" w:w="3552"/>
            <w:vAlign w:val="center"/>
          </w:tcPr>
          <w:p>
            <w:pPr>
              <w:spacing w:after="0" w:line="240" w:lineRule="auto"/>
            </w:pPr>
            <w:r>
              <w:rPr>
                <w:rFonts w:ascii="Times New Roman" w:hAnsi="Times New Roman"/>
                <w:sz w:val="16"/>
              </w:rPr>
              <w:t>Gen. 24:34</w:t>
            </w:r>
          </w:p>
        </w:tc>
        <w:tc>
          <w:tcPr>
            <w:tcW w:type="dxa" w:w="3552"/>
            <w:vAlign w:val="center"/>
          </w:tcPr>
          <w:p>
            <w:pPr>
              <w:spacing w:after="0" w:line="240" w:lineRule="auto"/>
            </w:pPr>
            <w:r>
              <w:rPr>
                <w:rFonts w:ascii="Times New Roman" w:hAnsi="Times New Roman"/>
                <w:sz w:val="16"/>
              </w:rPr>
              <w:t>“I am Abraham’s servant”</w:t>
            </w:r>
          </w:p>
        </w:tc>
        <w:tc>
          <w:tcPr>
            <w:tcW w:type="dxa" w:w="3552"/>
            <w:vAlign w:val="center"/>
          </w:tcPr>
          <w:p>
            <w:pPr>
              <w:spacing w:after="0" w:line="240" w:lineRule="auto"/>
            </w:pPr>
            <w:r>
              <w:rPr>
                <w:rFonts w:ascii="Times New Roman" w:hAnsi="Times New Roman"/>
                <w:sz w:val="16"/>
              </w:rPr>
              <w:t>Confirms Mansfield’s faithful-messenger emphasis.</w:t>
            </w:r>
          </w:p>
        </w:tc>
      </w:tr>
      <w:tr>
        <w:tc>
          <w:tcPr>
            <w:tcW w:type="dxa" w:w="3552"/>
            <w:vAlign w:val="center"/>
          </w:tcPr>
          <w:p>
            <w:pPr>
              <w:spacing w:after="0" w:line="240" w:lineRule="auto"/>
            </w:pPr>
            <w:r>
              <w:rPr>
                <w:rFonts w:ascii="Times New Roman" w:hAnsi="Times New Roman"/>
                <w:sz w:val="16"/>
              </w:rPr>
              <w:t>Gen. 24:49–51</w:t>
            </w:r>
          </w:p>
        </w:tc>
        <w:tc>
          <w:tcPr>
            <w:tcW w:type="dxa" w:w="3552"/>
            <w:vAlign w:val="center"/>
          </w:tcPr>
          <w:p>
            <w:pPr>
              <w:spacing w:after="0" w:line="240" w:lineRule="auto"/>
            </w:pPr>
            <w:r>
              <w:rPr>
                <w:rFonts w:ascii="Times New Roman" w:hAnsi="Times New Roman"/>
                <w:sz w:val="16"/>
              </w:rPr>
              <w:t>decision / “from Yahweh”</w:t>
            </w:r>
          </w:p>
        </w:tc>
        <w:tc>
          <w:tcPr>
            <w:tcW w:type="dxa" w:w="3552"/>
            <w:vAlign w:val="center"/>
          </w:tcPr>
          <w:p>
            <w:pPr>
              <w:spacing w:after="0" w:line="240" w:lineRule="auto"/>
            </w:pPr>
            <w:r>
              <w:rPr>
                <w:rFonts w:ascii="Times New Roman" w:hAnsi="Times New Roman"/>
                <w:sz w:val="16"/>
              </w:rPr>
              <w:t>Checks the appeal and household acknowledgment of providence.</w:t>
            </w:r>
          </w:p>
        </w:tc>
      </w:tr>
      <w:tr>
        <w:tc>
          <w:tcPr>
            <w:tcW w:type="dxa" w:w="3552"/>
            <w:vAlign w:val="center"/>
          </w:tcPr>
          <w:p>
            <w:pPr>
              <w:spacing w:after="0" w:line="240" w:lineRule="auto"/>
            </w:pPr>
            <w:r>
              <w:rPr>
                <w:rFonts w:ascii="Times New Roman" w:hAnsi="Times New Roman"/>
                <w:sz w:val="16"/>
              </w:rPr>
              <w:t>Gen. 24:58</w:t>
            </w:r>
          </w:p>
        </w:tc>
        <w:tc>
          <w:tcPr>
            <w:tcW w:type="dxa" w:w="3552"/>
            <w:vAlign w:val="center"/>
          </w:tcPr>
          <w:p>
            <w:pPr>
              <w:spacing w:after="0" w:line="240" w:lineRule="auto"/>
            </w:pPr>
            <w:r>
              <w:rPr>
                <w:rFonts w:ascii="Times New Roman" w:hAnsi="Times New Roman"/>
                <w:sz w:val="16"/>
              </w:rPr>
              <w:t>“I will go”</w:t>
            </w:r>
          </w:p>
        </w:tc>
        <w:tc>
          <w:tcPr>
            <w:tcW w:type="dxa" w:w="3552"/>
            <w:vAlign w:val="center"/>
          </w:tcPr>
          <w:p>
            <w:pPr>
              <w:spacing w:after="0" w:line="240" w:lineRule="auto"/>
            </w:pPr>
            <w:r>
              <w:rPr>
                <w:rFonts w:ascii="Times New Roman" w:hAnsi="Times New Roman"/>
                <w:sz w:val="16"/>
              </w:rPr>
              <w:t>Preserves Rebekah’s personal and voluntary decision.</w:t>
            </w:r>
          </w:p>
        </w:tc>
      </w:tr>
      <w:tr>
        <w:tc>
          <w:tcPr>
            <w:tcW w:type="dxa" w:w="3552"/>
            <w:vAlign w:val="center"/>
          </w:tcPr>
          <w:p>
            <w:pPr>
              <w:spacing w:after="0" w:line="240" w:lineRule="auto"/>
            </w:pPr>
            <w:r>
              <w:rPr>
                <w:rFonts w:ascii="Times New Roman" w:hAnsi="Times New Roman"/>
                <w:sz w:val="16"/>
              </w:rPr>
              <w:t>Gen. 24:60</w:t>
            </w:r>
          </w:p>
        </w:tc>
        <w:tc>
          <w:tcPr>
            <w:tcW w:type="dxa" w:w="3552"/>
            <w:vAlign w:val="center"/>
          </w:tcPr>
          <w:p>
            <w:pPr>
              <w:spacing w:after="0" w:line="240" w:lineRule="auto"/>
            </w:pPr>
            <w:r>
              <w:rPr>
                <w:rFonts w:ascii="Times New Roman" w:hAnsi="Times New Roman"/>
                <w:sz w:val="16"/>
              </w:rPr>
              <w:t>Gen. 22:17</w:t>
            </w:r>
          </w:p>
        </w:tc>
        <w:tc>
          <w:tcPr>
            <w:tcW w:type="dxa" w:w="3552"/>
            <w:vAlign w:val="center"/>
          </w:tcPr>
          <w:p>
            <w:pPr>
              <w:spacing w:after="0" w:line="240" w:lineRule="auto"/>
            </w:pPr>
            <w:r>
              <w:rPr>
                <w:rFonts w:ascii="Times New Roman" w:hAnsi="Times New Roman"/>
                <w:sz w:val="16"/>
              </w:rPr>
              <w:t>Confirms the family blessing echoes the gate-of-enemies promise.</w:t>
            </w:r>
          </w:p>
        </w:tc>
      </w:tr>
      <w:tr>
        <w:tc>
          <w:tcPr>
            <w:tcW w:type="dxa" w:w="3552"/>
            <w:vAlign w:val="center"/>
          </w:tcPr>
          <w:p>
            <w:pPr>
              <w:spacing w:after="0" w:line="240" w:lineRule="auto"/>
            </w:pPr>
            <w:r>
              <w:rPr>
                <w:rFonts w:ascii="Times New Roman" w:hAnsi="Times New Roman"/>
                <w:sz w:val="16"/>
              </w:rPr>
              <w:t>Gen. 24:62–63</w:t>
            </w:r>
          </w:p>
        </w:tc>
        <w:tc>
          <w:tcPr>
            <w:tcW w:type="dxa" w:w="3552"/>
            <w:vAlign w:val="center"/>
          </w:tcPr>
          <w:p>
            <w:pPr>
              <w:spacing w:after="0" w:line="240" w:lineRule="auto"/>
            </w:pPr>
            <w:r>
              <w:rPr>
                <w:rFonts w:ascii="Times New Roman" w:hAnsi="Times New Roman"/>
                <w:sz w:val="16"/>
              </w:rPr>
              <w:t>Beer-lahai-roi; suach</w:t>
            </w:r>
          </w:p>
        </w:tc>
        <w:tc>
          <w:tcPr>
            <w:tcW w:type="dxa" w:w="3552"/>
            <w:vAlign w:val="center"/>
          </w:tcPr>
          <w:p>
            <w:pPr>
              <w:spacing w:after="0" w:line="240" w:lineRule="auto"/>
            </w:pPr>
            <w:r>
              <w:rPr>
                <w:rFonts w:ascii="Times New Roman" w:hAnsi="Times New Roman"/>
                <w:sz w:val="16"/>
              </w:rPr>
              <w:t>Recovers place connection; exact “meditate/pray” nuance left qualified.</w:t>
            </w:r>
          </w:p>
        </w:tc>
      </w:tr>
      <w:tr>
        <w:tc>
          <w:tcPr>
            <w:tcW w:type="dxa" w:w="3552"/>
            <w:vAlign w:val="center"/>
          </w:tcPr>
          <w:p>
            <w:pPr>
              <w:spacing w:after="0" w:line="240" w:lineRule="auto"/>
            </w:pPr>
            <w:r>
              <w:rPr>
                <w:rFonts w:ascii="Times New Roman" w:hAnsi="Times New Roman"/>
                <w:sz w:val="16"/>
              </w:rPr>
              <w:t>Gen. 24:67</w:t>
            </w:r>
          </w:p>
        </w:tc>
        <w:tc>
          <w:tcPr>
            <w:tcW w:type="dxa" w:w="3552"/>
            <w:vAlign w:val="center"/>
          </w:tcPr>
          <w:p>
            <w:pPr>
              <w:spacing w:after="0" w:line="240" w:lineRule="auto"/>
            </w:pPr>
            <w:r>
              <w:rPr>
                <w:rFonts w:ascii="Times New Roman" w:hAnsi="Times New Roman"/>
                <w:sz w:val="16"/>
              </w:rPr>
              <w:t>Gen. 23:1; 25:20</w:t>
            </w:r>
          </w:p>
        </w:tc>
        <w:tc>
          <w:tcPr>
            <w:tcW w:type="dxa" w:w="3552"/>
            <w:vAlign w:val="center"/>
          </w:tcPr>
          <w:p>
            <w:pPr>
              <w:spacing w:after="0" w:line="240" w:lineRule="auto"/>
            </w:pPr>
            <w:r>
              <w:rPr>
                <w:rFonts w:ascii="Times New Roman" w:hAnsi="Times New Roman"/>
                <w:sz w:val="16"/>
              </w:rPr>
              <w:t>Confirms Isaac 40 and approximately three years since Sarah’s death.</w:t>
            </w:r>
          </w:p>
        </w:tc>
      </w:tr>
    </w:tbl>
    <w:p>
      <w:pPr>
        <w:pStyle w:val="Heading1"/>
      </w:pPr>
      <w:r>
        <w:t>RESIDUAL UNCERTAINTIES</w:t>
      </w:r>
    </w:p>
    <w:p>
      <w:pPr>
        <w:pStyle w:val="ListBullet"/>
      </w:pPr>
      <w:r>
        <w:t>Genesis 24 never names the servant. Mansfield’s identification with Eliezer of Genesis 15:2 is plausible but remains an inference.</w:t>
      </w:r>
    </w:p>
    <w:p>
      <w:pPr>
        <w:pStyle w:val="ListBullet"/>
      </w:pPr>
      <w:r>
        <w:t>The hand-under-thigh oath is certainly solemn and connected with family/posterity, but Mansfield’s more detailed reconstruction of physical contact with the circumcision mark cannot be proved from the narrative and is therefore stated cautiously.</w:t>
      </w:r>
    </w:p>
    <w:p>
      <w:pPr>
        <w:pStyle w:val="ListBullet"/>
      </w:pPr>
      <w:r>
        <w:t>Mansfield’s older proposed meaning of Rebekah’s name and some place-name meanings (including Nahor) are uncertain and have not been used as foundations for the exposition.</w:t>
      </w:r>
    </w:p>
    <w:p>
      <w:pPr>
        <w:pStyle w:val="ListBullet"/>
      </w:pPr>
      <w:r>
        <w:t>Laban’s interest in the jewellery may fit his later character, but Genesis 24 does not disclose his inner motive at the well.</w:t>
      </w:r>
    </w:p>
    <w:p>
      <w:pPr>
        <w:pStyle w:val="ListBullet"/>
      </w:pPr>
      <w:r>
        <w:t>The rare verb suach in Genesis 24:63 has been variously understood. KJV “meditate” is retained; Mansfield’s “pray” is noted as an older interpretation, not presented as lexically exclusive.</w:t>
      </w:r>
    </w:p>
    <w:sectPr w:rsidR="00FC693F" w:rsidRPr="0006063C" w:rsidSect="00034616">
      <w:headerReference w:type="default" r:id="rId9"/>
      <w:footerReference w:type="default" r:id="rId10"/>
      <w:pgSz w:w="12240" w:h="15840"/>
      <w:pgMar w:top="778" w:right="792" w:bottom="778" w:left="792" w:header="302" w:footer="27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16"/>
      </w:rPr>
      <w:t>H. P. MANSFIELD BIBLE NOTES  •  GENESIS 24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4" w:line="240" w:lineRule="auto"/>
    </w:pPr>
    <w:rPr>
      <w:rFonts w:ascii="Times New Roman" w:hAnsi="Times New Roman" w:eastAsia="Times New Roman"/>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30" w:after="60"/>
      <w:outlineLvl w:val="0"/>
    </w:pPr>
    <w:rPr>
      <w:rFonts w:asciiTheme="majorHAnsi" w:eastAsiaTheme="majorEastAsia" w:hAnsiTheme="majorHAnsi" w:cstheme="majorBidi" w:ascii="Arial" w:hAnsi="Arial" w:eastAsia="Arial"/>
      <w:b/>
      <w:bCs/>
      <w:color w:val="2761A1"/>
      <w:sz w:val="25"/>
      <w:szCs w:val="28"/>
    </w:rPr>
  </w:style>
  <w:style w:type="paragraph" w:styleId="Heading2">
    <w:name w:val="heading 2"/>
    <w:basedOn w:val="Normal"/>
    <w:next w:val="Normal"/>
    <w:link w:val="Heading2Char"/>
    <w:uiPriority w:val="9"/>
    <w:unhideWhenUsed/>
    <w:qFormat/>
    <w:rsid w:val="00FC693F"/>
    <w:pPr>
      <w:keepNext/>
      <w:keepLines/>
      <w:spacing w:before="80" w:after="24"/>
      <w:outlineLvl w:val="1"/>
    </w:pPr>
    <w:rPr>
      <w:rFonts w:asciiTheme="majorHAnsi" w:eastAsiaTheme="majorEastAsia" w:hAnsiTheme="majorHAnsi" w:cstheme="majorBidi" w:ascii="Arial" w:hAnsi="Arial" w:eastAsia="Arial"/>
      <w:b/>
      <w:bCs/>
      <w:color w:val="2761A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b/>
      <w:i/>
      <w:iCs/>
      <w:color w:val="367ED2"/>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