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25</w:t>
      </w:r>
    </w:p>
    <w:p>
      <w:pPr>
        <w:spacing w:after="80"/>
        <w:pBdr>
          <w:bottom w:val="single" w:sz="12" w:space="1" w:color="2B78D0"/>
        </w:pBdr>
      </w:pPr>
    </w:p>
    <w:p>
      <w:pPr>
        <w:spacing w:after="40"/>
        <w:jc w:val="center"/>
      </w:pPr>
      <w:r>
        <w:rPr>
          <w:rFonts w:ascii="Arial" w:hAnsi="Arial"/>
          <w:b/>
          <w:i/>
          <w:color w:val="2B78D0"/>
          <w:sz w:val="22"/>
        </w:rPr>
        <w:t>ABRAHAM’S DEATH  •  ISAAC THE HEIR  •  TWO NATIONS  •  ESAU DESPISES THE BIRTHRIGHT</w:t>
      </w:r>
    </w:p>
    <w:p>
      <w:pPr>
        <w:spacing w:after="0"/>
        <w:jc w:val="center"/>
      </w:pPr>
      <w:r>
        <w:rPr>
          <w:i/>
          <w:sz w:val="18"/>
        </w:rPr>
        <w:t>H. P. Mansfield Bible notes — checked and arranged in verse-by-verse Expositor style</w:t>
      </w:r>
    </w:p>
    <w:p>
      <w:pPr>
        <w:spacing w:after="100"/>
        <w:jc w:val="center"/>
      </w:pPr>
      <w:r>
        <w:rPr>
          <w:sz w:val="17"/>
        </w:rPr>
        <w:t>Source: HPB 01-Gen01-Gen41.PDF, Genesis 25 photographed pages 74–75</w:t>
      </w:r>
    </w:p>
    <w:p>
      <w:pPr>
        <w:pStyle w:val="Heading1"/>
      </w:pPr>
      <w:r>
        <w:t>CHAPTER OVERVIEW</w:t>
      </w:r>
    </w:p>
    <w:p>
      <w:r>
        <w:t>Genesis 25 closes the life of Abraham and then narrows the record to the covenant household of Isaac. Keturah’s descendants and the twelve princes of Ishmael are real branches of Abraham’s family and receive blessing, but the inheritance is deliberately vested in Isaac. Abraham dies without having received the promised land in fullness, so the burial at Machpelah remains joined to the patriarchal hope of resurrection.</w:t>
      </w:r>
    </w:p>
    <w:p>
      <w:r>
        <w:t>The chapter then introduces the long conflict between Jacob and Esau. Rebekah’s barrenness is answered by prayer; before the twins are born Yahweh declares that two nations are involved and that “the elder shall serve the younger.” Their later conduct reveals contrasting valuations of the promise, climaxing in Esau’s sale and contempt of the birthright.</w:t>
      </w:r>
    </w:p>
    <w:p>
      <w:pPr>
        <w:pStyle w:val="Heading1"/>
      </w:pPr>
      <w:r>
        <w:t>ABRAHAM’S OTHER DESCENDANTS — GENESIS 25:1–6</w:t>
      </w:r>
    </w:p>
    <w:p>
      <w:pPr>
        <w:pStyle w:val="Heading2"/>
      </w:pPr>
      <w:r>
        <w:t>Genesis 25:1–4 — Keturah and her sons</w:t>
      </w:r>
    </w:p>
    <w:p>
      <w:r>
        <w:t>Keturah is called Abraham’s wife here and his concubine in 1 Chronicles 1:32. Mansfield therefore treats her as a secondary wife and proposes that the chronological placement need not prove that the marriage began only after Sarah’s death. The text does not date the union precisely. Six sons are named: Zimran, Jokshan, Medan, Midian, Ishbak and Shuah, followed by further descendants.</w:t>
      </w:r>
    </w:p>
    <w:p>
      <w:r>
        <w:t>Mansfield supplies numerous proposed name meanings and Arabian tribal identifications. Some are useful historical suggestions — Midian, for example, is clearly important later in Genesis and Exodus — but several of the minor identifications are uncertain and are therefore not presented as established facts.</w:t>
      </w:r>
    </w:p>
    <w:p>
      <w:pPr>
        <w:pStyle w:val="Heading2"/>
      </w:pPr>
      <w:r>
        <w:t>Genesis 25:5–6 — the inheritance belongs to Isaac</w:t>
      </w:r>
    </w:p>
    <w:p>
      <w:r>
        <w:t>“Abraham gave all that he had unto Isaac.” This is the decisive inheritance statement. The sons of the concubines receive gifts but are sent eastward, away from Isaac, while Abraham still lives. The distinction is not that the collateral families receive nothing; rather, Isaac alone carries the covenant inheritance and the principal estate. Compare Hebrews 1:2 in Mansfield’s typological application to the promised Son.</w:t>
      </w:r>
    </w:p>
    <w:p>
      <w:pPr>
        <w:pStyle w:val="Heading1"/>
      </w:pPr>
      <w:r>
        <w:t>THE DEATH OF ABRAHAM — GENESIS 25:7–11</w:t>
      </w:r>
    </w:p>
    <w:p>
      <w:pPr>
        <w:pStyle w:val="Heading2"/>
      </w:pPr>
      <w:r>
        <w:t>Genesis 25:7–8 — 175 years and death</w:t>
      </w:r>
    </w:p>
    <w:p>
      <w:r>
        <w:t>Abraham dies at 175, one hundred years after entering the land at seventy-five (Genesis 12:4). Sarah had died at 127 when Abraham was about 137, so he outlived her by roughly thirty-eight years. Jacob and Esau, born when Isaac was sixty, were about fifteen at Abraham’s death.</w:t>
      </w:r>
    </w:p>
    <w:p>
      <w:r>
        <w:t>“Gave up the ghost” is the KJV idiom for expiring or breathing one’s last. “Gathered to his people” is not evidence that Abraham had already received immortal life; the narrative immediately describes burial. His fathers had included idolaters (Joshua 24:2), while the New Testament still places fulfilment of the patriarchal hope in resurrection and the coming kingdom (Matthew 8:11; Hebrews 11:13, 39–40).</w:t>
      </w:r>
    </w:p>
    <w:p>
      <w:pPr>
        <w:pStyle w:val="Heading2"/>
      </w:pPr>
      <w:r>
        <w:t>Genesis 25:9–11 — Machpelah and blessing transferred to Isaac</w:t>
      </w:r>
    </w:p>
    <w:p>
      <w:r>
        <w:t>Isaac is named before Ishmael as the two sons bury Abraham in the cave of Machpelah, purchased from Ephron (Genesis 23). Abraham and Sarah therefore rest together in the only securely purchased family possession specifically narrated in his lifetime. After Abraham’s death God blesses Isaac, who dwells by Beer-lahai-roi, recalling “the well of the Living One who sees me” from Genesis 16:14 and 24:62.</w:t>
      </w:r>
    </w:p>
    <w:p>
      <w:pPr>
        <w:pStyle w:val="Heading1"/>
      </w:pPr>
      <w:r>
        <w:t>THE GENERATIONS OF ISHMAEL — GENESIS 25:12–18</w:t>
      </w:r>
    </w:p>
    <w:p>
      <w:pPr>
        <w:pStyle w:val="Heading2"/>
      </w:pPr>
      <w:r>
        <w:t>Genesis 25:12–16 — twelve princes</w:t>
      </w:r>
    </w:p>
    <w:p>
      <w:r>
        <w:t>The record briefly gives Ishmael’s line before returning to Isaac. Twelve sons or tribal princes fulfil the promise of Genesis 17:20. The KJV also speaks of their “towns” and “castles”; Mansfield recovers the Hebrew tirah behind “castles,” a term connected with encampments or walled settlements. His many individual tribal equations should be retained as proposals rather than certainties.</w:t>
      </w:r>
    </w:p>
    <w:p>
      <w:pPr>
        <w:pStyle w:val="Heading2"/>
      </w:pPr>
      <w:r>
        <w:t>Genesis 25:17–18 — Ishmael’s death and territory</w:t>
      </w:r>
    </w:p>
    <w:p>
      <w:r>
        <w:t>Ishmael dies aged 137. The notice is anticipatory: later events involving Jacob and Esau occur before Ishmael’s death, as Genesis 28:9 itself shows. His descendants range from Havilah toward Shur, “before Egypt, as thou goest toward Assyria.” This accords with the earlier prediction that Ishmael would dwell in relation to his brethren (Genesis 16:12), but exact modern tribal mapping is not required by the text.</w:t>
      </w:r>
    </w:p>
    <w:p>
      <w:pPr>
        <w:pStyle w:val="Heading1"/>
      </w:pPr>
      <w:r>
        <w:t>THE GENERATIONS OF ISAAC — GENESIS 25:19–23</w:t>
      </w:r>
    </w:p>
    <w:p>
      <w:pPr>
        <w:pStyle w:val="Heading2"/>
      </w:pPr>
      <w:r>
        <w:t>Genesis 25:19–21 — barrenness answered by prayer</w:t>
      </w:r>
    </w:p>
    <w:p>
      <w:r>
        <w:t>Isaac is forty when he marries Rebekah (Genesis 25:20) and sixty when the twins are born (v. 26), so the barrenness lasts about twenty years. Unlike the fleshly expedient attempted in Abraham’s household, Isaac entreats Yahweh for his wife. Yahweh is entreated of him and Rebekah conceives. Mansfield rightly makes prayer and dependence upon God central to this generation’s response.</w:t>
      </w:r>
    </w:p>
    <w:p>
      <w:pPr>
        <w:pStyle w:val="Heading2"/>
      </w:pPr>
      <w:r>
        <w:t>Genesis 25:22 — “the children struggled together within her”</w:t>
      </w:r>
    </w:p>
    <w:p>
      <w:r>
        <w:t>The Hebrew ratsats is a strong verb, carrying the sense of crushing or violent struggling. Rebekah therefore experiences real distress and asks, “If it be so, why am I thus?” She goes to enquire of Yahweh. Mansfield suggests she may have used a mediator such as Abraham, but Genesis does not say how the enquiry was made, so that detail remains conjectural.</w:t>
      </w:r>
    </w:p>
    <w:p>
      <w:pPr>
        <w:pStyle w:val="Heading2"/>
      </w:pPr>
      <w:r>
        <w:t>Genesis 25:23 — two nations and divine election</w:t>
      </w:r>
    </w:p>
    <w:p>
      <w:r>
        <w:t>Yahweh’s oracle precedes the twins’ birth: “Two nations are in thy womb, and two manner of people shall be separated from thy bowels … and the elder shall serve the younger.” Romans 9:10–13 later cites this prenatal choice in its discussion of God’s purpose of election. Mansfield associates the two brothers with flesh and spirit, but the immediate historical reference is to Jacob/Israel and Esau/Edom and their contrasting lines.</w:t>
      </w:r>
    </w:p>
    <w:p>
      <w:pPr>
        <w:pStyle w:val="Heading1"/>
      </w:pPr>
      <w:r>
        <w:t>ESAU AND JACOB — GENESIS 25:24–28</w:t>
      </w:r>
    </w:p>
    <w:p>
      <w:pPr>
        <w:pStyle w:val="Heading2"/>
      </w:pPr>
      <w:r>
        <w:t>Genesis 25:24–26 — red, hairy, and the heel</w:t>
      </w:r>
    </w:p>
    <w:p>
      <w:r>
        <w:t>The firstborn is described as red (admoni) and hairy; the hairy description is connected with sa‘ar/Seir wordplay. “Esau” is traditionally associated with his appearance, but the exact etymology is uncertain and should not be pressed. Jacob emerges holding Esau’s heel. His name is linked in the narrative with the Hebrew heel-root and the idea of a heel-catcher/supplanter; Hosea 12:3 later recalls that he took his brother by the heel in the womb.</w:t>
      </w:r>
    </w:p>
    <w:p>
      <w:pPr>
        <w:pStyle w:val="Heading2"/>
      </w:pPr>
      <w:r>
        <w:t>Genesis 25:27 — hunter and “plain man”</w:t>
      </w:r>
    </w:p>
    <w:p>
      <w:r>
        <w:t>Esau becomes a skilful hunter, “a man of the field.” Jacob is a “plain man, dwelling in tents.” The Hebrew tam does not mean dull or simple-minded; it denotes completeness, integrity or blamelessness, the same family of language used of Job. Mansfield therefore reads Jacob as sincere and single-minded in his valuation of the promise, while still recognising that Jacob later commits serious faults. Hebrews 11:9–10 supplies the broader pilgrimage significance of dwelling in tents.</w:t>
      </w:r>
    </w:p>
    <w:p>
      <w:pPr>
        <w:pStyle w:val="Heading2"/>
      </w:pPr>
      <w:r>
        <w:t>Genesis 25:28 — divided parental preference</w:t>
      </w:r>
    </w:p>
    <w:p>
      <w:r>
        <w:t>Isaac loves Esau “because he did eat of his venison” — literally the produce of Esau’s hunting was in his mouth — while Rebekah loves Jacob. Mansfield marks this divided preference as a source of later family disorder. The text records the partiality without approving it.</w:t>
      </w:r>
    </w:p>
    <w:p>
      <w:pPr>
        <w:pStyle w:val="Heading1"/>
      </w:pPr>
      <w:r>
        <w:t>ESAU SELLS THE BIRTHRIGHT — GENESIS 25:29–34</w:t>
      </w:r>
    </w:p>
    <w:p>
      <w:pPr>
        <w:pStyle w:val="Heading2"/>
      </w:pPr>
      <w:r>
        <w:t>Genesis 25:29–30 — “that same red pottage”</w:t>
      </w:r>
    </w:p>
    <w:p>
      <w:r>
        <w:t>Jacob is cooking stew when Esau returns faint from the field. The emphatic Hebrew expression is effectively “the red, the red”; the episode supplies the narrative association with Edom, “red.” Mansfield’s broader symbolism of Edom as flesh is exposition; the direct textual point is the new name and Esau’s appetite-driven demand.</w:t>
      </w:r>
    </w:p>
    <w:p>
      <w:pPr>
        <w:pStyle w:val="Heading2"/>
      </w:pPr>
      <w:r>
        <w:t>Genesis 25:31–33 — the bargain</w:t>
      </w:r>
    </w:p>
    <w:p>
      <w:r>
        <w:t>Jacob asks Esau to sell the birthright and requires an oath. The later law helps explain the importance attached to firstborn status — consecration, family standing and a double inheritance (Exodus 13:2; Deuteronomy 21:15–17) — although patriarchal practice should not simply be reconstructed from later Mosaic legislation. Mansfield does not need to excuse Jacob’s opportunistic bargaining: the theological emphasis of the passage falls on what Esau was willing to surrender.</w:t>
      </w:r>
    </w:p>
    <w:p>
      <w:pPr>
        <w:pStyle w:val="Heading2"/>
      </w:pPr>
      <w:r>
        <w:t>Genesis 25:34 — “thus Esau despised his birthright”</w:t>
      </w:r>
    </w:p>
    <w:p>
      <w:r>
        <w:t>Esau eats, drinks, rises and goes his way; the narrator then gives the verdict: “thus Esau despised his birthright.” Hebrews 12:16 calls him a “profane person” who for one morsel of meat sold his birthright. The issue is therefore a corrupt scale of values: immediate appetite is preferred to a future privilege bound up with the family promise.</w:t>
      </w:r>
    </w:p>
    <w:p>
      <w:pPr>
        <w:pStyle w:val="Heading1"/>
      </w:pPr>
      <w:r>
        <w:t>PRINCIPAL THEMES</w:t>
      </w:r>
    </w:p>
    <w:p>
      <w:pPr>
        <w:spacing w:after="24"/>
      </w:pPr>
      <w:r>
        <w:rPr>
          <w:b/>
        </w:rPr>
        <w:t xml:space="preserve">The inheritance is narrowed to Isaac. </w:t>
      </w:r>
      <w:r>
        <w:t>Other Abrahamic lines are real and blessed, but they do not carry Isaac’s covenant status.</w:t>
      </w:r>
    </w:p>
    <w:p>
      <w:pPr>
        <w:spacing w:after="24"/>
      </w:pPr>
      <w:r>
        <w:rPr>
          <w:b/>
        </w:rPr>
        <w:t xml:space="preserve">The patriarch dies in faith. </w:t>
      </w:r>
      <w:r>
        <w:t>Abraham’s burial does not exhaust the promise; the New Testament places its fulfilment beyond his mortal life.</w:t>
      </w:r>
    </w:p>
    <w:p>
      <w:pPr>
        <w:spacing w:after="24"/>
      </w:pPr>
      <w:r>
        <w:rPr>
          <w:b/>
        </w:rPr>
        <w:t xml:space="preserve">Prayer answers barrenness. </w:t>
      </w:r>
      <w:r>
        <w:t>Isaac and Rebekah receive the promised children through dependence upon Yahweh.</w:t>
      </w:r>
    </w:p>
    <w:p>
      <w:pPr>
        <w:spacing w:after="24"/>
      </w:pPr>
      <w:r>
        <w:rPr>
          <w:b/>
        </w:rPr>
        <w:t xml:space="preserve">Election precedes achievement. </w:t>
      </w:r>
      <w:r>
        <w:t>The elder-serving-younger oracle is given before either twin has acted.</w:t>
      </w:r>
    </w:p>
    <w:p>
      <w:pPr>
        <w:spacing w:after="24"/>
      </w:pPr>
      <w:r>
        <w:rPr>
          <w:b/>
        </w:rPr>
        <w:t xml:space="preserve">Character is revealed by valuation. </w:t>
      </w:r>
      <w:r>
        <w:t>Jacob values the birthright; Esau treats it as expendable.</w:t>
      </w:r>
    </w:p>
    <w:p>
      <w:pPr>
        <w:spacing w:after="24"/>
      </w:pPr>
      <w:r>
        <w:rPr>
          <w:b/>
        </w:rPr>
        <w:t xml:space="preserve">Present appetite can destroy future privilege. </w:t>
      </w:r>
      <w:r>
        <w:t>The chapter’s final inspired verdict is that Esau despised his birthright.</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vAlign w:val="center"/>
          </w:tcPr>
          <w:p>
            <w:r>
              <w:rPr>
                <w:b/>
                <w:sz w:val="16"/>
              </w:rPr>
              <w:t>Location</w:t>
            </w:r>
          </w:p>
        </w:tc>
        <w:tc>
          <w:tcPr>
            <w:tcW w:type="dxa" w:w="3561"/>
            <w:vAlign w:val="center"/>
          </w:tcPr>
          <w:p>
            <w:r>
              <w:rPr>
                <w:b/>
                <w:sz w:val="16"/>
              </w:rPr>
              <w:t>Checked / corrected reading</w:t>
            </w:r>
          </w:p>
        </w:tc>
        <w:tc>
          <w:tcPr>
            <w:tcW w:type="dxa" w:w="3561"/>
            <w:vAlign w:val="center"/>
          </w:tcPr>
          <w:p>
            <w:r>
              <w:rPr>
                <w:b/>
                <w:sz w:val="16"/>
              </w:rPr>
              <w:t>Basis</w:t>
            </w:r>
          </w:p>
        </w:tc>
      </w:tr>
      <w:tr>
        <w:tc>
          <w:tcPr>
            <w:tcW w:type="dxa" w:w="3561"/>
          </w:tcPr>
          <w:p>
            <w:pPr>
              <w:spacing w:after="0"/>
            </w:pPr>
            <w:r>
              <w:rPr>
                <w:rFonts w:ascii="Times New Roman" w:hAnsi="Times New Roman"/>
                <w:sz w:val="15"/>
              </w:rPr>
              <w:t>Gen. 25:1–4</w:t>
            </w:r>
          </w:p>
        </w:tc>
        <w:tc>
          <w:tcPr>
            <w:tcW w:type="dxa" w:w="3561"/>
          </w:tcPr>
          <w:p>
            <w:pPr>
              <w:spacing w:after="0"/>
            </w:pPr>
            <w:r>
              <w:rPr>
                <w:rFonts w:ascii="Times New Roman" w:hAnsi="Times New Roman"/>
                <w:sz w:val="15"/>
              </w:rPr>
              <w:t>1 Chr. 1:32–33</w:t>
            </w:r>
          </w:p>
        </w:tc>
        <w:tc>
          <w:tcPr>
            <w:tcW w:type="dxa" w:w="3561"/>
          </w:tcPr>
          <w:p>
            <w:pPr>
              <w:spacing w:after="0"/>
            </w:pPr>
            <w:r>
              <w:rPr>
                <w:rFonts w:ascii="Times New Roman" w:hAnsi="Times New Roman"/>
                <w:sz w:val="15"/>
              </w:rPr>
              <w:t>Keturah is called concubine there; exact chronology and many tribal equations remain uncertain.</w:t>
            </w:r>
          </w:p>
        </w:tc>
      </w:tr>
      <w:tr>
        <w:tc>
          <w:tcPr>
            <w:tcW w:type="dxa" w:w="3561"/>
          </w:tcPr>
          <w:p>
            <w:pPr>
              <w:spacing w:after="0"/>
            </w:pPr>
            <w:r>
              <w:rPr>
                <w:rFonts w:ascii="Times New Roman" w:hAnsi="Times New Roman"/>
                <w:sz w:val="15"/>
              </w:rPr>
              <w:t>Gen. 25:5–6</w:t>
            </w:r>
          </w:p>
        </w:tc>
        <w:tc>
          <w:tcPr>
            <w:tcW w:type="dxa" w:w="3561"/>
          </w:tcPr>
          <w:p>
            <w:pPr>
              <w:spacing w:after="0"/>
            </w:pPr>
            <w:r>
              <w:rPr>
                <w:rFonts w:ascii="Times New Roman" w:hAnsi="Times New Roman"/>
                <w:sz w:val="15"/>
              </w:rPr>
              <w:t>Heb. 1:2</w:t>
            </w:r>
          </w:p>
        </w:tc>
        <w:tc>
          <w:tcPr>
            <w:tcW w:type="dxa" w:w="3561"/>
          </w:tcPr>
          <w:p>
            <w:pPr>
              <w:spacing w:after="0"/>
            </w:pPr>
            <w:r>
              <w:rPr>
                <w:rFonts w:ascii="Times New Roman" w:hAnsi="Times New Roman"/>
                <w:sz w:val="15"/>
              </w:rPr>
              <w:t>Confirms Mansfield’s heir/inheritance typology without confusing it with the literal patriarchal estate.</w:t>
            </w:r>
          </w:p>
        </w:tc>
      </w:tr>
      <w:tr>
        <w:tc>
          <w:tcPr>
            <w:tcW w:type="dxa" w:w="3561"/>
          </w:tcPr>
          <w:p>
            <w:pPr>
              <w:spacing w:after="0"/>
            </w:pPr>
            <w:r>
              <w:rPr>
                <w:rFonts w:ascii="Times New Roman" w:hAnsi="Times New Roman"/>
                <w:sz w:val="15"/>
              </w:rPr>
              <w:t>Gen. 25:7</w:t>
            </w:r>
          </w:p>
        </w:tc>
        <w:tc>
          <w:tcPr>
            <w:tcW w:type="dxa" w:w="3561"/>
          </w:tcPr>
          <w:p>
            <w:pPr>
              <w:spacing w:after="0"/>
            </w:pPr>
            <w:r>
              <w:rPr>
                <w:rFonts w:ascii="Times New Roman" w:hAnsi="Times New Roman"/>
                <w:sz w:val="15"/>
              </w:rPr>
              <w:t>Gen. 12:4; 17:17; 25:26</w:t>
            </w:r>
          </w:p>
        </w:tc>
        <w:tc>
          <w:tcPr>
            <w:tcW w:type="dxa" w:w="3561"/>
          </w:tcPr>
          <w:p>
            <w:pPr>
              <w:spacing w:after="0"/>
            </w:pPr>
            <w:r>
              <w:rPr>
                <w:rFonts w:ascii="Times New Roman" w:hAnsi="Times New Roman"/>
                <w:sz w:val="15"/>
              </w:rPr>
              <w:t>Checks Abraham’s 100 years in the land, ~38 years after Sarah, twins ~15.</w:t>
            </w:r>
          </w:p>
        </w:tc>
      </w:tr>
      <w:tr>
        <w:tc>
          <w:tcPr>
            <w:tcW w:type="dxa" w:w="3561"/>
          </w:tcPr>
          <w:p>
            <w:pPr>
              <w:spacing w:after="0"/>
            </w:pPr>
            <w:r>
              <w:rPr>
                <w:rFonts w:ascii="Times New Roman" w:hAnsi="Times New Roman"/>
                <w:sz w:val="15"/>
              </w:rPr>
              <w:t>Gen. 25:8–10</w:t>
            </w:r>
          </w:p>
        </w:tc>
        <w:tc>
          <w:tcPr>
            <w:tcW w:type="dxa" w:w="3561"/>
          </w:tcPr>
          <w:p>
            <w:pPr>
              <w:spacing w:after="0"/>
            </w:pPr>
            <w:r>
              <w:rPr>
                <w:rFonts w:ascii="Times New Roman" w:hAnsi="Times New Roman"/>
                <w:sz w:val="15"/>
              </w:rPr>
              <w:t>Josh. 24:2; Matt. 8:11; Heb. 11:13,39–40</w:t>
            </w:r>
          </w:p>
        </w:tc>
        <w:tc>
          <w:tcPr>
            <w:tcW w:type="dxa" w:w="3561"/>
          </w:tcPr>
          <w:p>
            <w:pPr>
              <w:spacing w:after="0"/>
            </w:pPr>
            <w:r>
              <w:rPr>
                <w:rFonts w:ascii="Times New Roman" w:hAnsi="Times New Roman"/>
                <w:sz w:val="15"/>
              </w:rPr>
              <w:t>Prevents 'gathered to his people' from being read as present immortal reward.</w:t>
            </w:r>
          </w:p>
        </w:tc>
      </w:tr>
      <w:tr>
        <w:tc>
          <w:tcPr>
            <w:tcW w:type="dxa" w:w="3561"/>
          </w:tcPr>
          <w:p>
            <w:pPr>
              <w:spacing w:after="0"/>
            </w:pPr>
            <w:r>
              <w:rPr>
                <w:rFonts w:ascii="Times New Roman" w:hAnsi="Times New Roman"/>
                <w:sz w:val="15"/>
              </w:rPr>
              <w:t>Gen. 25:11</w:t>
            </w:r>
          </w:p>
        </w:tc>
        <w:tc>
          <w:tcPr>
            <w:tcW w:type="dxa" w:w="3561"/>
          </w:tcPr>
          <w:p>
            <w:pPr>
              <w:spacing w:after="0"/>
            </w:pPr>
            <w:r>
              <w:rPr>
                <w:rFonts w:ascii="Times New Roman" w:hAnsi="Times New Roman"/>
                <w:sz w:val="15"/>
              </w:rPr>
              <w:t>Gen. 16:14; 24:62</w:t>
            </w:r>
          </w:p>
        </w:tc>
        <w:tc>
          <w:tcPr>
            <w:tcW w:type="dxa" w:w="3561"/>
          </w:tcPr>
          <w:p>
            <w:pPr>
              <w:spacing w:after="0"/>
            </w:pPr>
            <w:r>
              <w:rPr>
                <w:rFonts w:ascii="Times New Roman" w:hAnsi="Times New Roman"/>
                <w:sz w:val="15"/>
              </w:rPr>
              <w:t>Recovers Beer-lahai-roi connection.</w:t>
            </w:r>
          </w:p>
        </w:tc>
      </w:tr>
      <w:tr>
        <w:tc>
          <w:tcPr>
            <w:tcW w:type="dxa" w:w="3561"/>
          </w:tcPr>
          <w:p>
            <w:pPr>
              <w:spacing w:after="0"/>
            </w:pPr>
            <w:r>
              <w:rPr>
                <w:rFonts w:ascii="Times New Roman" w:hAnsi="Times New Roman"/>
                <w:sz w:val="15"/>
              </w:rPr>
              <w:t>Gen. 25:12–16</w:t>
            </w:r>
          </w:p>
        </w:tc>
        <w:tc>
          <w:tcPr>
            <w:tcW w:type="dxa" w:w="3561"/>
          </w:tcPr>
          <w:p>
            <w:pPr>
              <w:spacing w:after="0"/>
            </w:pPr>
            <w:r>
              <w:rPr>
                <w:rFonts w:ascii="Times New Roman" w:hAnsi="Times New Roman"/>
                <w:sz w:val="15"/>
              </w:rPr>
              <w:t>Gen. 17:20; tirah</w:t>
            </w:r>
          </w:p>
        </w:tc>
        <w:tc>
          <w:tcPr>
            <w:tcW w:type="dxa" w:w="3561"/>
          </w:tcPr>
          <w:p>
            <w:pPr>
              <w:spacing w:after="0"/>
            </w:pPr>
            <w:r>
              <w:rPr>
                <w:rFonts w:ascii="Times New Roman" w:hAnsi="Times New Roman"/>
                <w:sz w:val="15"/>
              </w:rPr>
              <w:t>Confirms twelve princes; 'castles' relates to encampments/settlements.</w:t>
            </w:r>
          </w:p>
        </w:tc>
      </w:tr>
      <w:tr>
        <w:tc>
          <w:tcPr>
            <w:tcW w:type="dxa" w:w="3561"/>
          </w:tcPr>
          <w:p>
            <w:pPr>
              <w:spacing w:after="0"/>
            </w:pPr>
            <w:r>
              <w:rPr>
                <w:rFonts w:ascii="Times New Roman" w:hAnsi="Times New Roman"/>
                <w:sz w:val="15"/>
              </w:rPr>
              <w:t>Gen. 25:17–18</w:t>
            </w:r>
          </w:p>
        </w:tc>
        <w:tc>
          <w:tcPr>
            <w:tcW w:type="dxa" w:w="3561"/>
          </w:tcPr>
          <w:p>
            <w:pPr>
              <w:spacing w:after="0"/>
            </w:pPr>
            <w:r>
              <w:rPr>
                <w:rFonts w:ascii="Times New Roman" w:hAnsi="Times New Roman"/>
                <w:sz w:val="15"/>
              </w:rPr>
              <w:t>Gen. 28:9</w:t>
            </w:r>
          </w:p>
        </w:tc>
        <w:tc>
          <w:tcPr>
            <w:tcW w:type="dxa" w:w="3561"/>
          </w:tcPr>
          <w:p>
            <w:pPr>
              <w:spacing w:after="0"/>
            </w:pPr>
            <w:r>
              <w:rPr>
                <w:rFonts w:ascii="Times New Roman" w:hAnsi="Times New Roman"/>
                <w:sz w:val="15"/>
              </w:rPr>
              <w:t>Checks that Ishmael’s death notice anticipates later events.</w:t>
            </w:r>
          </w:p>
        </w:tc>
      </w:tr>
      <w:tr>
        <w:tc>
          <w:tcPr>
            <w:tcW w:type="dxa" w:w="3561"/>
          </w:tcPr>
          <w:p>
            <w:pPr>
              <w:spacing w:after="0"/>
            </w:pPr>
            <w:r>
              <w:rPr>
                <w:rFonts w:ascii="Times New Roman" w:hAnsi="Times New Roman"/>
                <w:sz w:val="15"/>
              </w:rPr>
              <w:t>Gen. 25:21</w:t>
            </w:r>
          </w:p>
        </w:tc>
        <w:tc>
          <w:tcPr>
            <w:tcW w:type="dxa" w:w="3561"/>
          </w:tcPr>
          <w:p>
            <w:pPr>
              <w:spacing w:after="0"/>
            </w:pPr>
            <w:r>
              <w:rPr>
                <w:rFonts w:ascii="Times New Roman" w:hAnsi="Times New Roman"/>
                <w:sz w:val="15"/>
              </w:rPr>
              <w:t>v.20, v.26</w:t>
            </w:r>
          </w:p>
        </w:tc>
        <w:tc>
          <w:tcPr>
            <w:tcW w:type="dxa" w:w="3561"/>
          </w:tcPr>
          <w:p>
            <w:pPr>
              <w:spacing w:after="0"/>
            </w:pPr>
            <w:r>
              <w:rPr>
                <w:rFonts w:ascii="Times New Roman" w:hAnsi="Times New Roman"/>
                <w:sz w:val="15"/>
              </w:rPr>
              <w:t>Isaac 40 at marriage and 60 at twins’ birth: about twenty years of barrenness.</w:t>
            </w:r>
          </w:p>
        </w:tc>
      </w:tr>
      <w:tr>
        <w:tc>
          <w:tcPr>
            <w:tcW w:type="dxa" w:w="3561"/>
          </w:tcPr>
          <w:p>
            <w:pPr>
              <w:spacing w:after="0"/>
            </w:pPr>
            <w:r>
              <w:rPr>
                <w:rFonts w:ascii="Times New Roman" w:hAnsi="Times New Roman"/>
                <w:sz w:val="15"/>
              </w:rPr>
              <w:t>Gen. 25:22</w:t>
            </w:r>
          </w:p>
        </w:tc>
        <w:tc>
          <w:tcPr>
            <w:tcW w:type="dxa" w:w="3561"/>
          </w:tcPr>
          <w:p>
            <w:pPr>
              <w:spacing w:after="0"/>
            </w:pPr>
            <w:r>
              <w:rPr>
                <w:rFonts w:ascii="Times New Roman" w:hAnsi="Times New Roman"/>
                <w:sz w:val="15"/>
              </w:rPr>
              <w:t>ratsats</w:t>
            </w:r>
          </w:p>
        </w:tc>
        <w:tc>
          <w:tcPr>
            <w:tcW w:type="dxa" w:w="3561"/>
          </w:tcPr>
          <w:p>
            <w:pPr>
              <w:spacing w:after="0"/>
            </w:pPr>
            <w:r>
              <w:rPr>
                <w:rFonts w:ascii="Times New Roman" w:hAnsi="Times New Roman"/>
                <w:sz w:val="15"/>
              </w:rPr>
              <w:t>Recovers the strong 'struggle/crush' verb; mediator theory left uncertain.</w:t>
            </w:r>
          </w:p>
        </w:tc>
      </w:tr>
      <w:tr>
        <w:tc>
          <w:tcPr>
            <w:tcW w:type="dxa" w:w="3561"/>
          </w:tcPr>
          <w:p>
            <w:pPr>
              <w:spacing w:after="0"/>
            </w:pPr>
            <w:r>
              <w:rPr>
                <w:rFonts w:ascii="Times New Roman" w:hAnsi="Times New Roman"/>
                <w:sz w:val="15"/>
              </w:rPr>
              <w:t>Gen. 25:23</w:t>
            </w:r>
          </w:p>
        </w:tc>
        <w:tc>
          <w:tcPr>
            <w:tcW w:type="dxa" w:w="3561"/>
          </w:tcPr>
          <w:p>
            <w:pPr>
              <w:spacing w:after="0"/>
            </w:pPr>
            <w:r>
              <w:rPr>
                <w:rFonts w:ascii="Times New Roman" w:hAnsi="Times New Roman"/>
                <w:sz w:val="15"/>
              </w:rPr>
              <w:t>Rom. 9:10–13</w:t>
            </w:r>
          </w:p>
        </w:tc>
        <w:tc>
          <w:tcPr>
            <w:tcW w:type="dxa" w:w="3561"/>
          </w:tcPr>
          <w:p>
            <w:pPr>
              <w:spacing w:after="0"/>
            </w:pPr>
            <w:r>
              <w:rPr>
                <w:rFonts w:ascii="Times New Roman" w:hAnsi="Times New Roman"/>
                <w:sz w:val="15"/>
              </w:rPr>
              <w:t>Confirms New Testament use of the elder/younger oracle.</w:t>
            </w:r>
          </w:p>
        </w:tc>
      </w:tr>
      <w:tr>
        <w:tc>
          <w:tcPr>
            <w:tcW w:type="dxa" w:w="3561"/>
          </w:tcPr>
          <w:p>
            <w:pPr>
              <w:spacing w:after="0"/>
            </w:pPr>
            <w:r>
              <w:rPr>
                <w:rFonts w:ascii="Times New Roman" w:hAnsi="Times New Roman"/>
                <w:sz w:val="15"/>
              </w:rPr>
              <w:t>Gen. 25:25–26</w:t>
            </w:r>
          </w:p>
        </w:tc>
        <w:tc>
          <w:tcPr>
            <w:tcW w:type="dxa" w:w="3561"/>
          </w:tcPr>
          <w:p>
            <w:pPr>
              <w:spacing w:after="0"/>
            </w:pPr>
            <w:r>
              <w:rPr>
                <w:rFonts w:ascii="Times New Roman" w:hAnsi="Times New Roman"/>
                <w:sz w:val="15"/>
              </w:rPr>
              <w:t>admoni; sa‘ar; Hos. 12:3</w:t>
            </w:r>
          </w:p>
        </w:tc>
        <w:tc>
          <w:tcPr>
            <w:tcW w:type="dxa" w:w="3561"/>
          </w:tcPr>
          <w:p>
            <w:pPr>
              <w:spacing w:after="0"/>
            </w:pPr>
            <w:r>
              <w:rPr>
                <w:rFonts w:ascii="Times New Roman" w:hAnsi="Times New Roman"/>
                <w:sz w:val="15"/>
              </w:rPr>
              <w:t>Recovers red/hairy/heel wordplay while qualifying uncertain Esau etymology.</w:t>
            </w:r>
          </w:p>
        </w:tc>
      </w:tr>
      <w:tr>
        <w:tc>
          <w:tcPr>
            <w:tcW w:type="dxa" w:w="3561"/>
          </w:tcPr>
          <w:p>
            <w:pPr>
              <w:spacing w:after="0"/>
            </w:pPr>
            <w:r>
              <w:rPr>
                <w:rFonts w:ascii="Times New Roman" w:hAnsi="Times New Roman"/>
                <w:sz w:val="15"/>
              </w:rPr>
              <w:t>Gen. 25:27</w:t>
            </w:r>
          </w:p>
        </w:tc>
        <w:tc>
          <w:tcPr>
            <w:tcW w:type="dxa" w:w="3561"/>
          </w:tcPr>
          <w:p>
            <w:pPr>
              <w:spacing w:after="0"/>
            </w:pPr>
            <w:r>
              <w:rPr>
                <w:rFonts w:ascii="Times New Roman" w:hAnsi="Times New Roman"/>
                <w:sz w:val="15"/>
              </w:rPr>
              <w:t>tam; Heb. 11:9–10</w:t>
            </w:r>
          </w:p>
        </w:tc>
        <w:tc>
          <w:tcPr>
            <w:tcW w:type="dxa" w:w="3561"/>
          </w:tcPr>
          <w:p>
            <w:pPr>
              <w:spacing w:after="0"/>
            </w:pPr>
            <w:r>
              <w:rPr>
                <w:rFonts w:ascii="Times New Roman" w:hAnsi="Times New Roman"/>
                <w:sz w:val="15"/>
              </w:rPr>
              <w:t>Corrects 'plain' away from 'simple' toward complete/upright/sincere.</w:t>
            </w:r>
          </w:p>
        </w:tc>
      </w:tr>
      <w:tr>
        <w:tc>
          <w:tcPr>
            <w:tcW w:type="dxa" w:w="3561"/>
          </w:tcPr>
          <w:p>
            <w:pPr>
              <w:spacing w:after="0"/>
            </w:pPr>
            <w:r>
              <w:rPr>
                <w:rFonts w:ascii="Times New Roman" w:hAnsi="Times New Roman"/>
                <w:sz w:val="15"/>
              </w:rPr>
              <w:t>Gen. 25:30</w:t>
            </w:r>
          </w:p>
        </w:tc>
        <w:tc>
          <w:tcPr>
            <w:tcW w:type="dxa" w:w="3561"/>
          </w:tcPr>
          <w:p>
            <w:pPr>
              <w:spacing w:after="0"/>
            </w:pPr>
            <w:r>
              <w:rPr>
                <w:rFonts w:ascii="Times New Roman" w:hAnsi="Times New Roman"/>
                <w:sz w:val="15"/>
              </w:rPr>
              <w:t>Edom / red</w:t>
            </w:r>
          </w:p>
        </w:tc>
        <w:tc>
          <w:tcPr>
            <w:tcW w:type="dxa" w:w="3561"/>
          </w:tcPr>
          <w:p>
            <w:pPr>
              <w:spacing w:after="0"/>
            </w:pPr>
            <w:r>
              <w:rPr>
                <w:rFonts w:ascii="Times New Roman" w:hAnsi="Times New Roman"/>
                <w:sz w:val="15"/>
              </w:rPr>
              <w:t>Confirms narrative red-name wordplay.</w:t>
            </w:r>
          </w:p>
        </w:tc>
      </w:tr>
      <w:tr>
        <w:tc>
          <w:tcPr>
            <w:tcW w:type="dxa" w:w="3561"/>
          </w:tcPr>
          <w:p>
            <w:pPr>
              <w:spacing w:after="0"/>
            </w:pPr>
            <w:r>
              <w:rPr>
                <w:rFonts w:ascii="Times New Roman" w:hAnsi="Times New Roman"/>
                <w:sz w:val="15"/>
              </w:rPr>
              <w:t>Gen. 25:31–34</w:t>
            </w:r>
          </w:p>
        </w:tc>
        <w:tc>
          <w:tcPr>
            <w:tcW w:type="dxa" w:w="3561"/>
          </w:tcPr>
          <w:p>
            <w:pPr>
              <w:spacing w:after="0"/>
            </w:pPr>
            <w:r>
              <w:rPr>
                <w:rFonts w:ascii="Times New Roman" w:hAnsi="Times New Roman"/>
                <w:sz w:val="15"/>
              </w:rPr>
              <w:t>Deut. 21:15–17; Heb. 12:16</w:t>
            </w:r>
          </w:p>
        </w:tc>
        <w:tc>
          <w:tcPr>
            <w:tcW w:type="dxa" w:w="3561"/>
          </w:tcPr>
          <w:p>
            <w:pPr>
              <w:spacing w:after="0"/>
            </w:pPr>
            <w:r>
              <w:rPr>
                <w:rFonts w:ascii="Times New Roman" w:hAnsi="Times New Roman"/>
                <w:sz w:val="15"/>
              </w:rPr>
              <w:t>Checks birthright significance and the inspired verdict on Esau.</w:t>
            </w:r>
          </w:p>
        </w:tc>
      </w:tr>
    </w:tbl>
    <w:p>
      <w:pPr>
        <w:pStyle w:val="Heading1"/>
      </w:pPr>
      <w:r>
        <w:t>RESIDUAL UNCERTAINTIES</w:t>
      </w:r>
    </w:p>
    <w:p>
      <w:pPr>
        <w:ind w:left="173" w:hanging="144"/>
      </w:pPr>
      <w:r>
        <w:t>The exact date at which Keturah became Abraham’s wife/concubine is not supplied by Genesis 25.</w:t>
      </w:r>
      <w:r/>
    </w:p>
    <w:p>
      <w:pPr>
        <w:ind w:left="173" w:hanging="144"/>
      </w:pPr>
      <w:r>
        <w:t>Many minor Keturah and Ishmael tribal identifications in Mansfield’s published material are historical proposals, not secure biblical identifications.</w:t>
      </w:r>
      <w:r/>
    </w:p>
    <w:p>
      <w:pPr>
        <w:ind w:left="173" w:hanging="144"/>
      </w:pPr>
      <w:r>
        <w:t>The exact etymology of Esau is uncertain; the narrative’s red/hairy description and the Edom wordplay are firmer than attempts to derive every element of his name.</w:t>
      </w:r>
      <w:r/>
    </w:p>
    <w:p>
      <w:pPr>
        <w:ind w:left="173" w:hanging="144"/>
      </w:pPr>
      <w:r>
        <w:t>Mansfield’s suggestion that Rebekah enquired of Yahweh through Abraham or another mediator is possible but not stated in the text.</w:t>
      </w:r>
      <w:r/>
    </w:p>
    <w:p>
      <w:pPr>
        <w:ind w:left="173" w:hanging="144"/>
      </w:pPr>
      <w:r>
        <w:t>Number symbolism attached to Abraham’s age is Mansfield’s expositional framework and has not been treated as a lexical or historical correction.</w:t>
      </w:r>
      <w:r/>
    </w:p>
    <w:sectPr w:rsidR="00FC693F" w:rsidRPr="0006063C" w:rsidSect="00034616">
      <w:headerReference w:type="default" r:id="rId9"/>
      <w:footerReference w:type="default" r:id="rId10"/>
      <w:pgSz w:w="12240" w:h="15840"/>
      <w:pgMar w:top="749" w:right="778" w:bottom="720" w:left="778" w:header="317"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4" w:line="245" w:lineRule="auto"/>
    </w:pPr>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1F5B91"/>
      <w:sz w:val="25"/>
      <w:szCs w:val="28"/>
    </w:rPr>
  </w:style>
  <w:style w:type="paragraph" w:styleId="Heading2">
    <w:name w:val="heading 2"/>
    <w:basedOn w:val="Normal"/>
    <w:next w:val="Normal"/>
    <w:link w:val="Heading2Char"/>
    <w:uiPriority w:val="9"/>
    <w:unhideWhenUsed/>
    <w:qFormat/>
    <w:rsid w:val="00FC693F"/>
    <w:pPr>
      <w:keepNext/>
      <w:keepLines/>
      <w:spacing w:before="80" w:after="30"/>
      <w:outlineLvl w:val="1"/>
    </w:pPr>
    <w:rPr>
      <w:rFonts w:asciiTheme="majorHAnsi" w:eastAsiaTheme="majorEastAsia" w:hAnsiTheme="majorHAnsi" w:cstheme="majorBidi" w:ascii="Arial" w:hAnsi="Arial"/>
      <w:b/>
      <w:bCs/>
      <w:color w:val="1F5B9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rial" w:hAnsi="Arial"/>
      <w:b/>
      <w:color w:val="1F5B91"/>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