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GENESIS 26</w:t>
      </w:r>
    </w:p>
    <w:p>
      <w:pPr>
        <w:spacing w:after="80"/>
        <w:pBdr>
          <w:bottom w:val="single" w:sz="12" w:space="1" w:color="2B78D0"/>
        </w:pBdr>
      </w:pPr>
    </w:p>
    <w:p>
      <w:pPr>
        <w:spacing w:after="40"/>
        <w:jc w:val="center"/>
      </w:pPr>
      <w:r>
        <w:rPr>
          <w:rFonts w:ascii="Arial" w:hAnsi="Arial"/>
          <w:b/>
          <w:i/>
          <w:color w:val="2B78D0"/>
          <w:sz w:val="22"/>
        </w:rPr>
        <w:t>REMAIN IN THE LAND  •  THE WELLS  •  REHOBOTH  •  “YAHWEH IS WITH THEE”</w:t>
      </w:r>
    </w:p>
    <w:p>
      <w:pPr>
        <w:spacing w:after="0"/>
        <w:jc w:val="center"/>
      </w:pPr>
      <w:r>
        <w:rPr>
          <w:i/>
          <w:sz w:val="18"/>
        </w:rPr>
        <w:t>H. P. Mansfield Bible notes — checked and arranged in verse-by-verse Expositor style</w:t>
      </w:r>
    </w:p>
    <w:p>
      <w:pPr>
        <w:spacing w:after="100"/>
        <w:jc w:val="center"/>
      </w:pPr>
      <w:r>
        <w:rPr>
          <w:sz w:val="17"/>
        </w:rPr>
        <w:t>Source: HPB 01-Gen01-Gen41.PDF, Genesis 26 photographed pages 75–76</w:t>
      </w:r>
    </w:p>
    <w:p>
      <w:pPr>
        <w:pStyle w:val="Heading1"/>
      </w:pPr>
      <w:r>
        <w:t>CHAPTER OVERVIEW</w:t>
      </w:r>
    </w:p>
    <w:p>
      <w:r>
        <w:t>Genesis 26 presents Isaac as the quiet heir of Abraham’s covenant. Famine tests him, Yahweh forbids the descent into Egypt, and the Abrahamic promise is formally repeated. Isaac nevertheless repeats the family weakness of concealing his wife’s true relationship, but Divine providence protects the covenant household.</w:t>
      </w:r>
    </w:p>
    <w:p>
      <w:r>
        <w:t>The dominant middle movement is the struggle over wells. Isaac does not answer Philistine pressure with violence; he withdraws, digs again, and moves from Esek and Sitnah to Rehoboth. At Beersheba altar, tent and well come together, and the men who had opposed him finally confess, “We saw certainly that Yahweh was with thee.”</w:t>
      </w:r>
    </w:p>
    <w:p>
      <w:pPr>
        <w:pStyle w:val="Heading1"/>
      </w:pPr>
      <w:r>
        <w:t>ISAAC MUST REMAIN IN THE LAND — GENESIS 26:1–5</w:t>
      </w:r>
    </w:p>
    <w:p>
      <w:pPr>
        <w:pStyle w:val="Heading2"/>
      </w:pPr>
      <w:r>
        <w:t>Genesis 26:1–2 — famine, Gerar, and “go not down into Egypt”</w:t>
      </w:r>
    </w:p>
    <w:p>
      <w:r>
        <w:t>The narrator expressly distinguishes this famine from the famine in Abraham’s days. Isaac goes toward Gerar under Abimelech, apparently with Egypt in view, but Yahweh intervenes: “Go not down into Egypt; dwell in the land which I shall tell thee of.” The verb used for “dwell” is shakan, to settle/dwell; Mansfield connects it with the later language of Divine dwelling, but the direct command is simply that Isaac remain where Yahweh directs.</w:t>
      </w:r>
    </w:p>
    <w:p>
      <w:pPr>
        <w:pStyle w:val="Heading2"/>
      </w:pPr>
      <w:r>
        <w:t>Genesis 26:3–4 — the Abrahamic promise repeated</w:t>
      </w:r>
    </w:p>
    <w:p>
      <w:r>
        <w:t>Yahweh promises His presence and blessing, the land, multiplied seed “as the stars of heaven,” and blessing to all nations through Isaac’s seed. The oath sworn to Abraham in Genesis 22:16–18 is explicitly carried forward. Galatians 3:8 confirms the Gospel character of the promise of blessing to the nations.</w:t>
      </w:r>
    </w:p>
    <w:p>
      <w:pPr>
        <w:pStyle w:val="Heading2"/>
      </w:pPr>
      <w:r>
        <w:t>Genesis 26:5 — Abraham obeyed</w:t>
      </w:r>
    </w:p>
    <w:p>
      <w:r>
        <w:t>Abraham “obeyed my voice, and kept my charge, my commandments, my statutes, and my laws.” Mansfield recovers shama behind “obeyed” in its hear-and-respond sense. The verse establishes that Abraham lived under revealed Divine requirements before Sinai. It does not prove that the full Mosaic code already existed in patriarchal form; Mansfield’s stronger reconstruction is therefore kept as exposition rather than textual fact.</w:t>
      </w:r>
    </w:p>
    <w:p>
      <w:pPr>
        <w:pStyle w:val="Heading1"/>
      </w:pPr>
      <w:r>
        <w:t>THE OLD WEAKNESS REPEATED — GENESIS 26:6–11</w:t>
      </w:r>
    </w:p>
    <w:p>
      <w:pPr>
        <w:pStyle w:val="Heading2"/>
      </w:pPr>
      <w:r>
        <w:t>Genesis 26:6–7 — “She is my sister”</w:t>
      </w:r>
    </w:p>
    <w:p>
      <w:r>
        <w:t>Isaac remains in Gerar but fears that the men will kill him for Rebekah. He calls her his sister. Unlike Abraham’s claim concerning Sarah, this is not a half-sister relationship: Rebekah is Isaac’s relative, but the statement is deliberately used to conceal that she is his wife. Proverbs 29:25 remains Mansfield’s apt moral cross-reference: the fear of man brings a snare.</w:t>
      </w:r>
    </w:p>
    <w:p>
      <w:pPr>
        <w:pStyle w:val="Heading2"/>
      </w:pPr>
      <w:r>
        <w:t>Genesis 26:8–10 — Isaac “sporting” with Rebekah</w:t>
      </w:r>
    </w:p>
    <w:p>
      <w:r>
        <w:t>Abimelech sees Isaac “sporting” with Rebekah. The Hebrew tsachaq means laugh/play and is the root word from which Isaac’s name is formed, so the verse contains deliberate wordplay. Their behaviour makes clear to Abimelech that she is his wife. His rebuke exposes Isaac’s deception and the danger into which it could have brought others.</w:t>
      </w:r>
    </w:p>
    <w:p>
      <w:pPr>
        <w:pStyle w:val="Heading2"/>
      </w:pPr>
      <w:r>
        <w:t>Genesis 26:11 — providential protection</w:t>
      </w:r>
    </w:p>
    <w:p>
      <w:r>
        <w:t>Abimelech commands that anyone who touches Isaac or Rebekah shall die. Psalm 105:14–15 retrospectively describes Yahweh’s protection of the patriarchs: He reproved kings for their sakes. The protection does not vindicate Isaac’s deceit; it shows Divine preservation despite his weakness.</w:t>
      </w:r>
    </w:p>
    <w:p>
      <w:pPr>
        <w:pStyle w:val="Heading1"/>
      </w:pPr>
      <w:r>
        <w:t>BLESSING, ENVY AND THE STOPPED WELLS — GENESIS 26:12–18</w:t>
      </w:r>
    </w:p>
    <w:p>
      <w:pPr>
        <w:pStyle w:val="Heading2"/>
      </w:pPr>
      <w:r>
        <w:t>Genesis 26:12–14 — a hundredfold</w:t>
      </w:r>
    </w:p>
    <w:p>
      <w:r>
        <w:t>Isaac sows in the land and receives a hundredfold in the same year: “Yahweh blessed him.” He becomes very great, with flocks, herds and a large household. The remarkable prosperity during famine makes the source of blessing conspicuous, but it also provokes Philistine envy.</w:t>
      </w:r>
    </w:p>
    <w:p>
      <w:pPr>
        <w:pStyle w:val="Heading2"/>
      </w:pPr>
      <w:r>
        <w:t>Genesis 26:15–16 — Abraham’s wells stopped</w:t>
      </w:r>
    </w:p>
    <w:p>
      <w:r>
        <w:t>The Philistines fill Abraham’s wells with earth, violating the spirit of the earlier Beersheba settlement in Genesis 21:25–31. Abimelech then tells Isaac to go because he is much mightier than they. Mansfield sees religious symbolism in stopped wells; historically the wells themselves are vital economic resources and points of conflict.</w:t>
      </w:r>
    </w:p>
    <w:p>
      <w:pPr>
        <w:pStyle w:val="Heading2"/>
      </w:pPr>
      <w:r>
        <w:t>Genesis 26:17–18 — Isaac withdraws and restores</w:t>
      </w:r>
    </w:p>
    <w:p>
      <w:r>
        <w:t>Isaac departs, pitches in the wadi/valley of Gerar, and re-digs the wells of Abraham, preserving the names his father had given them. The act expresses continuity: the heir does not invent a different inheritance but recovers what belonged to the Abrahamic household.</w:t>
      </w:r>
    </w:p>
    <w:p>
      <w:pPr>
        <w:pStyle w:val="Heading1"/>
      </w:pPr>
      <w:r>
        <w:t>ESEK, SITNAH AND REHOBOTH — GENESIS 26:19–22</w:t>
      </w:r>
    </w:p>
    <w:p>
      <w:pPr>
        <w:pStyle w:val="Heading2"/>
      </w:pPr>
      <w:r>
        <w:t>Genesis 26:19–20 — living water and Esek</w:t>
      </w:r>
    </w:p>
    <w:p>
      <w:r>
        <w:t>Isaac’s servants find “springing water”; the Hebrew expression is literally “living water.” The herdsmen of Gerar contend for it. Isaac calls the well Esek because they strove with him. The name is connected directly by the narrative with contention/strife.</w:t>
      </w:r>
    </w:p>
    <w:p>
      <w:pPr>
        <w:pStyle w:val="Heading2"/>
      </w:pPr>
      <w:r>
        <w:t>Genesis 26:21 — Sitnah</w:t>
      </w:r>
    </w:p>
    <w:p>
      <w:r>
        <w:t>A second well also produces conflict and is called Sitnah. The word denotes opposition or hostility and is related to the language from which “satan/adversary” is derived. Mansfield’s sequence is sound as exposition: contention has hardened into active opposition.</w:t>
      </w:r>
    </w:p>
    <w:p>
      <w:pPr>
        <w:pStyle w:val="Heading2"/>
      </w:pPr>
      <w:r>
        <w:t>Genesis 26:22 — Rehoboth</w:t>
      </w:r>
    </w:p>
    <w:p>
      <w:r>
        <w:t>Isaac moves again rather than fight. At the next well “they strove not,” and he calls it Rehoboth, “broad places/room”: “For now Yahweh hath made room for us, and we shall be fruitful in the land.” Mansfield rightly turns the sequence into an exhortation on patient withdrawal from needless strife, while the names themselves are grounded in the narrative.</w:t>
      </w:r>
    </w:p>
    <w:p>
      <w:pPr>
        <w:pStyle w:val="Heading1"/>
      </w:pPr>
      <w:r>
        <w:t>BEERSHEBA: ALTAR, TENT AND WELL — GENESIS 26:23–25</w:t>
      </w:r>
    </w:p>
    <w:p>
      <w:pPr>
        <w:pStyle w:val="Heading2"/>
      </w:pPr>
      <w:r>
        <w:t>Genesis 26:23–24 — “fear not, for I am with thee”</w:t>
      </w:r>
    </w:p>
    <w:p>
      <w:r>
        <w:t>Isaac goes up to Beersheba, the place already associated with Abraham’s oath and well. Yahweh appears that night: “I am the God of Abraham thy father: fear not, for I am with thee, and will bless thee.” The multiplication of Isaac’s seed is promised “for my servant Abraham’s sake,” explicitly joining Isaac’s blessing to the earlier covenant.</w:t>
      </w:r>
    </w:p>
    <w:p>
      <w:pPr>
        <w:pStyle w:val="Heading2"/>
      </w:pPr>
      <w:r>
        <w:t>Genesis 26:25 — worship, pilgrimage and provision</w:t>
      </w:r>
    </w:p>
    <w:p>
      <w:r>
        <w:t>Isaac builds an altar, calls upon the name of Yahweh, pitches his tent, and his servants dig a well. Mansfield’s threefold motif is particularly effective: altar for worship, tent for pilgrim status, well for sustaining provision. The details are all present in the verse and need no speculative reconstruction.</w:t>
      </w:r>
    </w:p>
    <w:p>
      <w:pPr>
        <w:pStyle w:val="Heading1"/>
      </w:pPr>
      <w:r>
        <w:t>THE PHILISTINES ACKNOWLEDGE THE BLESSING — GENESIS 26:26–33</w:t>
      </w:r>
    </w:p>
    <w:p>
      <w:pPr>
        <w:pStyle w:val="Heading2"/>
      </w:pPr>
      <w:r>
        <w:t>Genesis 26:26–31 — “We saw certainly that Yahweh was with thee”</w:t>
      </w:r>
    </w:p>
    <w:p>
      <w:r>
        <w:t>Abimelech comes with Ahuzzath his friend/adviser and Phichol the chief captain. Isaac openly asks why they have come after hating him and sending him away. Their answer is the chapter’s vindication: “We saw certainly that Yahweh was with thee.” They request an oath and covenant of peace; Isaac makes a feast, and the parties swear to one another.</w:t>
      </w:r>
    </w:p>
    <w:p>
      <w:r>
        <w:t>Mansfield sees a future Gentile type here, but the historical lesson is already strong: Isaac’s standing is finally acknowledged not because he forced recognition but because Yahweh’s blessing became undeniable.</w:t>
      </w:r>
    </w:p>
    <w:p>
      <w:pPr>
        <w:pStyle w:val="Heading2"/>
      </w:pPr>
      <w:r>
        <w:t>Genesis 26:32–33 — Shebah and Beersheba</w:t>
      </w:r>
    </w:p>
    <w:p>
      <w:r>
        <w:t>On the same day Isaac’s servants report, “We have found water.” Isaac calls the well Shebah. The naming stands beside the established name Beersheba, which is associated with both “seven” and “oath” wordplay in Hebrew and with Abraham’s earlier covenant in Genesis 21. Mansfield’s numerological deductions go beyond the lexical evidence, but the oath/well connection is secure.</w:t>
      </w:r>
    </w:p>
    <w:p>
      <w:pPr>
        <w:pStyle w:val="Heading1"/>
      </w:pPr>
      <w:r>
        <w:t>ESAU’S HITTITE MARRIAGES — GENESIS 26:34–35</w:t>
      </w:r>
    </w:p>
    <w:p>
      <w:r>
        <w:t>At forty — the same age at which Isaac married Rebekah (Genesis 25:20) — Esau takes Judith daughter of Beeri the Hittite and Bashemath daughter of Elon the Hittite. The result is “a grief of mind” to Isaac and Rebekah; the Hebrew phrase expresses bitterness of spirit. The episode continues the portrait of Esau’s disregard for the covenant household’s separation.</w:t>
      </w:r>
    </w:p>
    <w:p>
      <w:r>
        <w:t>Genesis 36 gives Esau’s wives under a difficult set of names and parentages. Mansfield offers harmonisations and name-change theories, but these are not certain enough to be used to correct Genesis 26. The secure point here is that the marriages are Hittite and grieve both parents.</w:t>
      </w:r>
    </w:p>
    <w:p>
      <w:pPr>
        <w:pStyle w:val="Heading1"/>
      </w:pPr>
      <w:r>
        <w:t>PRINCIPAL THEMES</w:t>
      </w:r>
    </w:p>
    <w:p>
      <w:pPr>
        <w:spacing w:after="24"/>
      </w:pPr>
      <w:r>
        <w:rPr>
          <w:b/>
        </w:rPr>
        <w:t xml:space="preserve">Remain in the land. </w:t>
      </w:r>
      <w:r>
        <w:t>Isaac is explicitly forbidden to seek security in Egypt.</w:t>
      </w:r>
    </w:p>
    <w:p>
      <w:pPr>
        <w:spacing w:after="24"/>
      </w:pPr>
      <w:r>
        <w:rPr>
          <w:b/>
        </w:rPr>
        <w:t xml:space="preserve">The promise is inherited, not reinvented. </w:t>
      </w:r>
      <w:r>
        <w:t>Isaac receives Abraham’s land, seed and nation-blessing promises.</w:t>
      </w:r>
    </w:p>
    <w:p>
      <w:pPr>
        <w:spacing w:after="24"/>
      </w:pPr>
      <w:r>
        <w:rPr>
          <w:b/>
        </w:rPr>
        <w:t xml:space="preserve">Weakness can repeat across generations. </w:t>
      </w:r>
      <w:r>
        <w:t>Isaac’s fear produces the same kind of deception seen earlier in Abraham.</w:t>
      </w:r>
    </w:p>
    <w:p>
      <w:pPr>
        <w:spacing w:after="24"/>
      </w:pPr>
      <w:r>
        <w:rPr>
          <w:b/>
        </w:rPr>
        <w:t xml:space="preserve">Peaceful persistence is not passivity. </w:t>
      </w:r>
      <w:r>
        <w:t>Isaac keeps digging and moving until contention gives way to Rehoboth.</w:t>
      </w:r>
    </w:p>
    <w:p>
      <w:pPr>
        <w:spacing w:after="24"/>
      </w:pPr>
      <w:r>
        <w:rPr>
          <w:b/>
        </w:rPr>
        <w:t xml:space="preserve">Altar, tent and well belong together. </w:t>
      </w:r>
      <w:r>
        <w:t>Worship, pilgrimage and provision define Isaac’s life at Beersheba.</w:t>
      </w:r>
    </w:p>
    <w:p>
      <w:pPr>
        <w:spacing w:after="24"/>
      </w:pPr>
      <w:r>
        <w:rPr>
          <w:b/>
        </w:rPr>
        <w:t xml:space="preserve">Divine blessing becomes visible. </w:t>
      </w:r>
      <w:r>
        <w:t>Former opponents finally acknowledge that Yahweh is with Isaac.</w:t>
      </w:r>
    </w:p>
    <w:p>
      <w:pPr>
        <w:spacing w:after="24"/>
      </w:pPr>
      <w:r>
        <w:rPr>
          <w:b/>
        </w:rPr>
        <w:t xml:space="preserve">Esau’s choices deepen the contrast. </w:t>
      </w:r>
      <w:r>
        <w:t>His Hittite marriages bring bitterness to the covenant household.</w:t>
      </w:r>
    </w:p>
    <w:p>
      <w:pPr>
        <w:pStyle w:val="Heading1"/>
        <w:pageBreakBefore/>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r>
              <w:rPr>
                <w:b/>
                <w:sz w:val="16"/>
              </w:rPr>
              <w:t>Location</w:t>
            </w:r>
          </w:p>
        </w:tc>
        <w:tc>
          <w:tcPr>
            <w:tcW w:type="dxa" w:w="3561"/>
          </w:tcPr>
          <w:p>
            <w:r>
              <w:rPr>
                <w:b/>
                <w:sz w:val="16"/>
              </w:rPr>
              <w:t>Checked / corrected reading</w:t>
            </w:r>
          </w:p>
        </w:tc>
        <w:tc>
          <w:tcPr>
            <w:tcW w:type="dxa" w:w="3561"/>
          </w:tcPr>
          <w:p>
            <w:r>
              <w:rPr>
                <w:b/>
                <w:sz w:val="16"/>
              </w:rPr>
              <w:t>Basis</w:t>
            </w:r>
          </w:p>
        </w:tc>
      </w:tr>
      <w:tr>
        <w:tc>
          <w:tcPr>
            <w:tcW w:type="dxa" w:w="3561"/>
          </w:tcPr>
          <w:p>
            <w:pPr>
              <w:spacing w:after="0"/>
            </w:pPr>
            <w:r>
              <w:rPr>
                <w:rFonts w:ascii="Times New Roman" w:hAnsi="Times New Roman"/>
                <w:sz w:val="15"/>
              </w:rPr>
              <w:t>Gen. 26:1–2</w:t>
            </w:r>
          </w:p>
        </w:tc>
        <w:tc>
          <w:tcPr>
            <w:tcW w:type="dxa" w:w="3561"/>
          </w:tcPr>
          <w:p>
            <w:pPr>
              <w:spacing w:after="0"/>
            </w:pPr>
            <w:r>
              <w:rPr>
                <w:rFonts w:ascii="Times New Roman" w:hAnsi="Times New Roman"/>
                <w:sz w:val="15"/>
              </w:rPr>
              <w:t>ra‘ab; shakan</w:t>
            </w:r>
          </w:p>
        </w:tc>
        <w:tc>
          <w:tcPr>
            <w:tcW w:type="dxa" w:w="3561"/>
          </w:tcPr>
          <w:p>
            <w:pPr>
              <w:spacing w:after="0"/>
            </w:pPr>
            <w:r>
              <w:rPr>
                <w:rFonts w:ascii="Times New Roman" w:hAnsi="Times New Roman"/>
                <w:sz w:val="15"/>
              </w:rPr>
              <w:t>Famine distinguished from Abraham’s; Isaac forbidden Egypt; no mode of appearance invented.</w:t>
            </w:r>
          </w:p>
        </w:tc>
      </w:tr>
      <w:tr>
        <w:tc>
          <w:tcPr>
            <w:tcW w:type="dxa" w:w="3561"/>
          </w:tcPr>
          <w:p>
            <w:pPr>
              <w:spacing w:after="0"/>
            </w:pPr>
            <w:r>
              <w:rPr>
                <w:rFonts w:ascii="Times New Roman" w:hAnsi="Times New Roman"/>
                <w:sz w:val="15"/>
              </w:rPr>
              <w:t>Gen. 26:3–5</w:t>
            </w:r>
          </w:p>
        </w:tc>
        <w:tc>
          <w:tcPr>
            <w:tcW w:type="dxa" w:w="3561"/>
          </w:tcPr>
          <w:p>
            <w:pPr>
              <w:spacing w:after="0"/>
            </w:pPr>
            <w:r>
              <w:rPr>
                <w:rFonts w:ascii="Times New Roman" w:hAnsi="Times New Roman"/>
                <w:sz w:val="15"/>
              </w:rPr>
              <w:t>Gen. 22:16–18; Gal. 3:8; shama</w:t>
            </w:r>
          </w:p>
        </w:tc>
        <w:tc>
          <w:tcPr>
            <w:tcW w:type="dxa" w:w="3561"/>
          </w:tcPr>
          <w:p>
            <w:pPr>
              <w:spacing w:after="0"/>
            </w:pPr>
            <w:r>
              <w:rPr>
                <w:rFonts w:ascii="Times New Roman" w:hAnsi="Times New Roman"/>
                <w:sz w:val="15"/>
              </w:rPr>
              <w:t>Checks oath/promise continuity and qualifies pre-Sinai-law extrapolation.</w:t>
            </w:r>
          </w:p>
        </w:tc>
      </w:tr>
      <w:tr>
        <w:tc>
          <w:tcPr>
            <w:tcW w:type="dxa" w:w="3561"/>
          </w:tcPr>
          <w:p>
            <w:pPr>
              <w:spacing w:after="0"/>
            </w:pPr>
            <w:r>
              <w:rPr>
                <w:rFonts w:ascii="Times New Roman" w:hAnsi="Times New Roman"/>
                <w:sz w:val="15"/>
              </w:rPr>
              <w:t>Gen. 26:7</w:t>
            </w:r>
          </w:p>
        </w:tc>
        <w:tc>
          <w:tcPr>
            <w:tcW w:type="dxa" w:w="3561"/>
          </w:tcPr>
          <w:p>
            <w:pPr>
              <w:spacing w:after="0"/>
            </w:pPr>
            <w:r>
              <w:rPr>
                <w:rFonts w:ascii="Times New Roman" w:hAnsi="Times New Roman"/>
                <w:sz w:val="15"/>
              </w:rPr>
              <w:t>Prov. 29:25</w:t>
            </w:r>
          </w:p>
        </w:tc>
        <w:tc>
          <w:tcPr>
            <w:tcW w:type="dxa" w:w="3561"/>
          </w:tcPr>
          <w:p>
            <w:pPr>
              <w:spacing w:after="0"/>
            </w:pPr>
            <w:r>
              <w:rPr>
                <w:rFonts w:ascii="Times New Roman" w:hAnsi="Times New Roman"/>
                <w:sz w:val="15"/>
              </w:rPr>
              <w:t>Confirms fear-of-man theme; Rebekah is not literally Isaac’s sister.</w:t>
            </w:r>
          </w:p>
        </w:tc>
      </w:tr>
      <w:tr>
        <w:tc>
          <w:tcPr>
            <w:tcW w:type="dxa" w:w="3561"/>
          </w:tcPr>
          <w:p>
            <w:pPr>
              <w:spacing w:after="0"/>
            </w:pPr>
            <w:r>
              <w:rPr>
                <w:rFonts w:ascii="Times New Roman" w:hAnsi="Times New Roman"/>
                <w:sz w:val="15"/>
              </w:rPr>
              <w:t>Gen. 26:8</w:t>
            </w:r>
          </w:p>
        </w:tc>
        <w:tc>
          <w:tcPr>
            <w:tcW w:type="dxa" w:w="3561"/>
          </w:tcPr>
          <w:p>
            <w:pPr>
              <w:spacing w:after="0"/>
            </w:pPr>
            <w:r>
              <w:rPr>
                <w:rFonts w:ascii="Times New Roman" w:hAnsi="Times New Roman"/>
                <w:sz w:val="15"/>
              </w:rPr>
              <w:t>tsachaq</w:t>
            </w:r>
          </w:p>
        </w:tc>
        <w:tc>
          <w:tcPr>
            <w:tcW w:type="dxa" w:w="3561"/>
          </w:tcPr>
          <w:p>
            <w:pPr>
              <w:spacing w:after="0"/>
            </w:pPr>
            <w:r>
              <w:rPr>
                <w:rFonts w:ascii="Times New Roman" w:hAnsi="Times New Roman"/>
                <w:sz w:val="15"/>
              </w:rPr>
              <w:t>Recovers play/laugh wordplay with Isaac’s name.</w:t>
            </w:r>
          </w:p>
        </w:tc>
      </w:tr>
      <w:tr>
        <w:tc>
          <w:tcPr>
            <w:tcW w:type="dxa" w:w="3561"/>
          </w:tcPr>
          <w:p>
            <w:pPr>
              <w:spacing w:after="0"/>
            </w:pPr>
            <w:r>
              <w:rPr>
                <w:rFonts w:ascii="Times New Roman" w:hAnsi="Times New Roman"/>
                <w:sz w:val="15"/>
              </w:rPr>
              <w:t>Gen. 26:11</w:t>
            </w:r>
          </w:p>
        </w:tc>
        <w:tc>
          <w:tcPr>
            <w:tcW w:type="dxa" w:w="3561"/>
          </w:tcPr>
          <w:p>
            <w:pPr>
              <w:spacing w:after="0"/>
            </w:pPr>
            <w:r>
              <w:rPr>
                <w:rFonts w:ascii="Times New Roman" w:hAnsi="Times New Roman"/>
                <w:sz w:val="15"/>
              </w:rPr>
              <w:t>Ps. 105:14–15</w:t>
            </w:r>
          </w:p>
        </w:tc>
        <w:tc>
          <w:tcPr>
            <w:tcW w:type="dxa" w:w="3561"/>
          </w:tcPr>
          <w:p>
            <w:pPr>
              <w:spacing w:after="0"/>
            </w:pPr>
            <w:r>
              <w:rPr>
                <w:rFonts w:ascii="Times New Roman" w:hAnsi="Times New Roman"/>
                <w:sz w:val="15"/>
              </w:rPr>
              <w:t>Checks retrospective Divine-protection reference.</w:t>
            </w:r>
          </w:p>
        </w:tc>
      </w:tr>
      <w:tr>
        <w:tc>
          <w:tcPr>
            <w:tcW w:type="dxa" w:w="3561"/>
          </w:tcPr>
          <w:p>
            <w:pPr>
              <w:spacing w:after="0"/>
            </w:pPr>
            <w:r>
              <w:rPr>
                <w:rFonts w:ascii="Times New Roman" w:hAnsi="Times New Roman"/>
                <w:sz w:val="15"/>
              </w:rPr>
              <w:t>Gen. 26:12–16</w:t>
            </w:r>
          </w:p>
        </w:tc>
        <w:tc>
          <w:tcPr>
            <w:tcW w:type="dxa" w:w="3561"/>
          </w:tcPr>
          <w:p>
            <w:pPr>
              <w:spacing w:after="0"/>
            </w:pPr>
            <w:r>
              <w:rPr>
                <w:rFonts w:ascii="Times New Roman" w:hAnsi="Times New Roman"/>
                <w:sz w:val="15"/>
              </w:rPr>
              <w:t>Gen. 21:25–31</w:t>
            </w:r>
          </w:p>
        </w:tc>
        <w:tc>
          <w:tcPr>
            <w:tcW w:type="dxa" w:w="3561"/>
          </w:tcPr>
          <w:p>
            <w:pPr>
              <w:spacing w:after="0"/>
            </w:pPr>
            <w:r>
              <w:rPr>
                <w:rFonts w:ascii="Times New Roman" w:hAnsi="Times New Roman"/>
                <w:sz w:val="15"/>
              </w:rPr>
              <w:t>Confirms prior well dispute/covenant background.</w:t>
            </w:r>
          </w:p>
        </w:tc>
      </w:tr>
      <w:tr>
        <w:tc>
          <w:tcPr>
            <w:tcW w:type="dxa" w:w="3561"/>
          </w:tcPr>
          <w:p>
            <w:pPr>
              <w:spacing w:after="0"/>
            </w:pPr>
            <w:r>
              <w:rPr>
                <w:rFonts w:ascii="Times New Roman" w:hAnsi="Times New Roman"/>
                <w:sz w:val="15"/>
              </w:rPr>
              <w:t>Gen. 26:17</w:t>
            </w:r>
          </w:p>
        </w:tc>
        <w:tc>
          <w:tcPr>
            <w:tcW w:type="dxa" w:w="3561"/>
          </w:tcPr>
          <w:p>
            <w:pPr>
              <w:spacing w:after="0"/>
            </w:pPr>
            <w:r>
              <w:rPr>
                <w:rFonts w:ascii="Times New Roman" w:hAnsi="Times New Roman"/>
                <w:sz w:val="15"/>
              </w:rPr>
              <w:t>nachal</w:t>
            </w:r>
          </w:p>
        </w:tc>
        <w:tc>
          <w:tcPr>
            <w:tcW w:type="dxa" w:w="3561"/>
          </w:tcPr>
          <w:p>
            <w:pPr>
              <w:spacing w:after="0"/>
            </w:pPr>
            <w:r>
              <w:rPr>
                <w:rFonts w:ascii="Times New Roman" w:hAnsi="Times New Roman"/>
                <w:sz w:val="15"/>
              </w:rPr>
              <w:t>‘Valley’ is a wadi/watercourse.</w:t>
            </w:r>
          </w:p>
        </w:tc>
      </w:tr>
      <w:tr>
        <w:tc>
          <w:tcPr>
            <w:tcW w:type="dxa" w:w="3561"/>
          </w:tcPr>
          <w:p>
            <w:pPr>
              <w:spacing w:after="0"/>
            </w:pPr>
            <w:r>
              <w:rPr>
                <w:rFonts w:ascii="Times New Roman" w:hAnsi="Times New Roman"/>
                <w:sz w:val="15"/>
              </w:rPr>
              <w:t>Gen. 26:19</w:t>
            </w:r>
          </w:p>
        </w:tc>
        <w:tc>
          <w:tcPr>
            <w:tcW w:type="dxa" w:w="3561"/>
          </w:tcPr>
          <w:p>
            <w:pPr>
              <w:spacing w:after="0"/>
            </w:pPr>
            <w:r>
              <w:rPr>
                <w:rFonts w:ascii="Times New Roman" w:hAnsi="Times New Roman"/>
                <w:sz w:val="15"/>
              </w:rPr>
              <w:t>living water</w:t>
            </w:r>
          </w:p>
        </w:tc>
        <w:tc>
          <w:tcPr>
            <w:tcW w:type="dxa" w:w="3561"/>
          </w:tcPr>
          <w:p>
            <w:pPr>
              <w:spacing w:after="0"/>
            </w:pPr>
            <w:r>
              <w:rPr>
                <w:rFonts w:ascii="Times New Roman" w:hAnsi="Times New Roman"/>
                <w:sz w:val="15"/>
              </w:rPr>
              <w:t>KJV ‘springing water’ corresponds to the Hebrew living-water expression.</w:t>
            </w:r>
          </w:p>
        </w:tc>
      </w:tr>
      <w:tr>
        <w:tc>
          <w:tcPr>
            <w:tcW w:type="dxa" w:w="3561"/>
          </w:tcPr>
          <w:p>
            <w:pPr>
              <w:spacing w:after="0"/>
            </w:pPr>
            <w:r>
              <w:rPr>
                <w:rFonts w:ascii="Times New Roman" w:hAnsi="Times New Roman"/>
                <w:sz w:val="15"/>
              </w:rPr>
              <w:t>Gen. 26:20</w:t>
            </w:r>
          </w:p>
        </w:tc>
        <w:tc>
          <w:tcPr>
            <w:tcW w:type="dxa" w:w="3561"/>
          </w:tcPr>
          <w:p>
            <w:pPr>
              <w:spacing w:after="0"/>
            </w:pPr>
            <w:r>
              <w:rPr>
                <w:rFonts w:ascii="Times New Roman" w:hAnsi="Times New Roman"/>
                <w:sz w:val="15"/>
              </w:rPr>
              <w:t>Esek</w:t>
            </w:r>
          </w:p>
        </w:tc>
        <w:tc>
          <w:tcPr>
            <w:tcW w:type="dxa" w:w="3561"/>
          </w:tcPr>
          <w:p>
            <w:pPr>
              <w:spacing w:after="0"/>
            </w:pPr>
            <w:r>
              <w:rPr>
                <w:rFonts w:ascii="Times New Roman" w:hAnsi="Times New Roman"/>
                <w:sz w:val="15"/>
              </w:rPr>
              <w:t>Narrative wordplay: contention/strife.</w:t>
            </w:r>
          </w:p>
        </w:tc>
      </w:tr>
      <w:tr>
        <w:tc>
          <w:tcPr>
            <w:tcW w:type="dxa" w:w="3561"/>
          </w:tcPr>
          <w:p>
            <w:pPr>
              <w:spacing w:after="0"/>
            </w:pPr>
            <w:r>
              <w:rPr>
                <w:rFonts w:ascii="Times New Roman" w:hAnsi="Times New Roman"/>
                <w:sz w:val="15"/>
              </w:rPr>
              <w:t>Gen. 26:21</w:t>
            </w:r>
          </w:p>
        </w:tc>
        <w:tc>
          <w:tcPr>
            <w:tcW w:type="dxa" w:w="3561"/>
          </w:tcPr>
          <w:p>
            <w:pPr>
              <w:spacing w:after="0"/>
            </w:pPr>
            <w:r>
              <w:rPr>
                <w:rFonts w:ascii="Times New Roman" w:hAnsi="Times New Roman"/>
                <w:sz w:val="15"/>
              </w:rPr>
              <w:t>Sitnah</w:t>
            </w:r>
          </w:p>
        </w:tc>
        <w:tc>
          <w:tcPr>
            <w:tcW w:type="dxa" w:w="3561"/>
          </w:tcPr>
          <w:p>
            <w:pPr>
              <w:spacing w:after="0"/>
            </w:pPr>
            <w:r>
              <w:rPr>
                <w:rFonts w:ascii="Times New Roman" w:hAnsi="Times New Roman"/>
                <w:sz w:val="15"/>
              </w:rPr>
              <w:t>Opposition/hostility; related adversarial root.</w:t>
            </w:r>
          </w:p>
        </w:tc>
      </w:tr>
      <w:tr>
        <w:tc>
          <w:tcPr>
            <w:tcW w:type="dxa" w:w="3561"/>
          </w:tcPr>
          <w:p>
            <w:pPr>
              <w:spacing w:after="0"/>
            </w:pPr>
            <w:r>
              <w:rPr>
                <w:rFonts w:ascii="Times New Roman" w:hAnsi="Times New Roman"/>
                <w:sz w:val="15"/>
              </w:rPr>
              <w:t>Gen. 26:22</w:t>
            </w:r>
          </w:p>
        </w:tc>
        <w:tc>
          <w:tcPr>
            <w:tcW w:type="dxa" w:w="3561"/>
          </w:tcPr>
          <w:p>
            <w:pPr>
              <w:spacing w:after="0"/>
            </w:pPr>
            <w:r>
              <w:rPr>
                <w:rFonts w:ascii="Times New Roman" w:hAnsi="Times New Roman"/>
                <w:sz w:val="15"/>
              </w:rPr>
              <w:t>Rehoboth</w:t>
            </w:r>
          </w:p>
        </w:tc>
        <w:tc>
          <w:tcPr>
            <w:tcW w:type="dxa" w:w="3561"/>
          </w:tcPr>
          <w:p>
            <w:pPr>
              <w:spacing w:after="0"/>
            </w:pPr>
            <w:r>
              <w:rPr>
                <w:rFonts w:ascii="Times New Roman" w:hAnsi="Times New Roman"/>
                <w:sz w:val="15"/>
              </w:rPr>
              <w:t>Broad places/room; securely tied to ‘made room for us’.</w:t>
            </w:r>
          </w:p>
        </w:tc>
      </w:tr>
      <w:tr>
        <w:tc>
          <w:tcPr>
            <w:tcW w:type="dxa" w:w="3561"/>
          </w:tcPr>
          <w:p>
            <w:pPr>
              <w:spacing w:after="0"/>
            </w:pPr>
            <w:r>
              <w:rPr>
                <w:rFonts w:ascii="Times New Roman" w:hAnsi="Times New Roman"/>
                <w:sz w:val="15"/>
              </w:rPr>
              <w:t>Gen. 26:23–25</w:t>
            </w:r>
          </w:p>
        </w:tc>
        <w:tc>
          <w:tcPr>
            <w:tcW w:type="dxa" w:w="3561"/>
          </w:tcPr>
          <w:p>
            <w:pPr>
              <w:spacing w:after="0"/>
            </w:pPr>
            <w:r>
              <w:rPr>
                <w:rFonts w:ascii="Times New Roman" w:hAnsi="Times New Roman"/>
                <w:sz w:val="15"/>
              </w:rPr>
              <w:t>Gen. 15:1; 21:31; 22:16</w:t>
            </w:r>
          </w:p>
        </w:tc>
        <w:tc>
          <w:tcPr>
            <w:tcW w:type="dxa" w:w="3561"/>
          </w:tcPr>
          <w:p>
            <w:pPr>
              <w:spacing w:after="0"/>
            </w:pPr>
            <w:r>
              <w:rPr>
                <w:rFonts w:ascii="Times New Roman" w:hAnsi="Times New Roman"/>
                <w:sz w:val="15"/>
              </w:rPr>
              <w:t>Checks Beersheba/oath context and altar-tent-well sequence.</w:t>
            </w:r>
          </w:p>
        </w:tc>
      </w:tr>
      <w:tr>
        <w:tc>
          <w:tcPr>
            <w:tcW w:type="dxa" w:w="3561"/>
          </w:tcPr>
          <w:p>
            <w:pPr>
              <w:spacing w:after="0"/>
            </w:pPr>
            <w:r>
              <w:rPr>
                <w:rFonts w:ascii="Times New Roman" w:hAnsi="Times New Roman"/>
                <w:sz w:val="15"/>
              </w:rPr>
              <w:t>Gen. 26:28</w:t>
            </w:r>
          </w:p>
        </w:tc>
        <w:tc>
          <w:tcPr>
            <w:tcW w:type="dxa" w:w="3561"/>
          </w:tcPr>
          <w:p>
            <w:pPr>
              <w:spacing w:after="0"/>
            </w:pPr>
            <w:r>
              <w:rPr>
                <w:rFonts w:ascii="Times New Roman" w:hAnsi="Times New Roman"/>
                <w:sz w:val="15"/>
              </w:rPr>
              <w:t>‘Yahweh was with thee’</w:t>
            </w:r>
          </w:p>
        </w:tc>
        <w:tc>
          <w:tcPr>
            <w:tcW w:type="dxa" w:w="3561"/>
          </w:tcPr>
          <w:p>
            <w:pPr>
              <w:spacing w:after="0"/>
            </w:pPr>
            <w:r>
              <w:rPr>
                <w:rFonts w:ascii="Times New Roman" w:hAnsi="Times New Roman"/>
                <w:sz w:val="15"/>
              </w:rPr>
              <w:t>Preserves the chapter’s explicit Gentile recognition.</w:t>
            </w:r>
          </w:p>
        </w:tc>
      </w:tr>
      <w:tr>
        <w:tc>
          <w:tcPr>
            <w:tcW w:type="dxa" w:w="3561"/>
          </w:tcPr>
          <w:p>
            <w:pPr>
              <w:spacing w:after="0"/>
            </w:pPr>
            <w:r>
              <w:rPr>
                <w:rFonts w:ascii="Times New Roman" w:hAnsi="Times New Roman"/>
                <w:sz w:val="15"/>
              </w:rPr>
              <w:t>Gen. 26:33</w:t>
            </w:r>
          </w:p>
        </w:tc>
        <w:tc>
          <w:tcPr>
            <w:tcW w:type="dxa" w:w="3561"/>
          </w:tcPr>
          <w:p>
            <w:pPr>
              <w:spacing w:after="0"/>
            </w:pPr>
            <w:r>
              <w:rPr>
                <w:rFonts w:ascii="Times New Roman" w:hAnsi="Times New Roman"/>
                <w:sz w:val="15"/>
              </w:rPr>
              <w:t>Shebah / Beersheba</w:t>
            </w:r>
          </w:p>
        </w:tc>
        <w:tc>
          <w:tcPr>
            <w:tcW w:type="dxa" w:w="3561"/>
          </w:tcPr>
          <w:p>
            <w:pPr>
              <w:spacing w:after="0"/>
            </w:pPr>
            <w:r>
              <w:rPr>
                <w:rFonts w:ascii="Times New Roman" w:hAnsi="Times New Roman"/>
                <w:sz w:val="15"/>
              </w:rPr>
              <w:t>Keeps oath/seven wordplay while avoiding overconfident numerology.</w:t>
            </w:r>
          </w:p>
        </w:tc>
      </w:tr>
      <w:tr>
        <w:tc>
          <w:tcPr>
            <w:tcW w:type="dxa" w:w="3561"/>
          </w:tcPr>
          <w:p>
            <w:pPr>
              <w:spacing w:after="0"/>
            </w:pPr>
            <w:r>
              <w:rPr>
                <w:rFonts w:ascii="Times New Roman" w:hAnsi="Times New Roman"/>
                <w:sz w:val="15"/>
              </w:rPr>
              <w:t>Gen. 26:34–35</w:t>
            </w:r>
          </w:p>
        </w:tc>
        <w:tc>
          <w:tcPr>
            <w:tcW w:type="dxa" w:w="3561"/>
          </w:tcPr>
          <w:p>
            <w:pPr>
              <w:spacing w:after="0"/>
            </w:pPr>
            <w:r>
              <w:rPr>
                <w:rFonts w:ascii="Times New Roman" w:hAnsi="Times New Roman"/>
                <w:sz w:val="15"/>
              </w:rPr>
              <w:t>Gen. 25:20; 36</w:t>
            </w:r>
          </w:p>
        </w:tc>
        <w:tc>
          <w:tcPr>
            <w:tcW w:type="dxa" w:w="3561"/>
          </w:tcPr>
          <w:p>
            <w:pPr>
              <w:spacing w:after="0"/>
            </w:pPr>
            <w:r>
              <w:rPr>
                <w:rFonts w:ascii="Times New Roman" w:hAnsi="Times New Roman"/>
                <w:sz w:val="15"/>
              </w:rPr>
              <w:t>Checks Esau age parallel; wife-name harmonisations left uncertain.</w:t>
            </w:r>
          </w:p>
        </w:tc>
      </w:tr>
    </w:tbl>
    <w:p>
      <w:pPr>
        <w:pStyle w:val="Heading1"/>
      </w:pPr>
      <w:r>
        <w:t>RESIDUAL UNCERTAINTIES</w:t>
      </w:r>
    </w:p>
    <w:p>
      <w:r>
        <w:t>•  Genesis does not state how Yahweh appeared to Isaac in verse 2; angelic visitation versus vision remains unspecified.</w:t>
      </w:r>
    </w:p>
    <w:p>
      <w:r>
        <w:t>•  Mansfield’s suggestion that Abraham possessed a substantial unrecorded pre-Sinai legal code goes beyond what Genesis 26:5 itself establishes.</w:t>
      </w:r>
    </w:p>
    <w:p>
      <w:r>
        <w:t>•  Some exact etymological and geographical identifications of the wells are traditional or proposed rather than demonstrable.</w:t>
      </w:r>
    </w:p>
    <w:p>
      <w:r>
        <w:t>•  Genesis 36 creates genuine complexity in the names and parentage of Esau’s wives; Mansfield’s harmonisations are retained only as possibilities, not corrections to Genesis 26.</w:t>
      </w:r>
    </w:p>
    <w:sectPr w:rsidR="00FC693F" w:rsidRPr="0006063C" w:rsidSect="00034616">
      <w:headerReference w:type="default" r:id="rId9"/>
      <w:footerReference w:type="default" r:id="rId10"/>
      <w:pgSz w:w="12240" w:h="15840"/>
      <w:pgMar w:top="749" w:right="778" w:bottom="720" w:left="778" w:header="317"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17"/>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sz w:val="17"/>
      </w:rPr>
      <w:t>H. P. MANSFIELD BIBLE NOTES  •  GENESIS 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2" w:line="245" w:lineRule="auto"/>
    </w:pPr>
    <w:rPr>
      <w:rFonts w:ascii="Times New Roman" w:hAnsi="Times New Roman"/>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60"/>
      <w:outlineLvl w:val="0"/>
    </w:pPr>
    <w:rPr>
      <w:rFonts w:asciiTheme="majorHAnsi" w:eastAsiaTheme="majorEastAsia" w:hAnsiTheme="majorHAnsi" w:cstheme="majorBidi" w:ascii="Arial" w:hAnsi="Arial"/>
      <w:b/>
      <w:bCs/>
      <w:color w:val="1F5B91"/>
      <w:sz w:val="25"/>
      <w:szCs w:val="28"/>
    </w:rPr>
  </w:style>
  <w:style w:type="paragraph" w:styleId="Heading2">
    <w:name w:val="heading 2"/>
    <w:basedOn w:val="Normal"/>
    <w:next w:val="Normal"/>
    <w:link w:val="Heading2Char"/>
    <w:uiPriority w:val="9"/>
    <w:unhideWhenUsed/>
    <w:qFormat/>
    <w:rsid w:val="00FC693F"/>
    <w:pPr>
      <w:keepNext/>
      <w:keepLines/>
      <w:spacing w:before="80" w:after="30"/>
      <w:outlineLvl w:val="1"/>
    </w:pPr>
    <w:rPr>
      <w:rFonts w:asciiTheme="majorHAnsi" w:eastAsiaTheme="majorEastAsia" w:hAnsiTheme="majorHAnsi" w:cstheme="majorBidi" w:ascii="Arial" w:hAnsi="Arial"/>
      <w:b/>
      <w:bCs/>
      <w:color w:val="1F5B9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F5B91"/>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