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28</w:t>
      </w:r>
    </w:p>
    <w:p>
      <w:pPr>
        <w:pStyle w:val="Subtitle"/>
      </w:pPr>
      <w:r>
        <w:t>THE BLESSING OF ABRAHAM • ESAU’S HALF-REFORM • THE VISION AT BETHEL • THE PILLAR AND THE VOW</w:t>
      </w:r>
    </w:p>
    <w:p>
      <w:pPr/>
      <w:r>
        <w:rPr>
          <w:i/>
        </w:rPr>
        <w:t>H. P. Mansfield Bible notes — checked and arranged in verse-by-verse Expositor style</w:t>
      </w:r>
    </w:p>
    <w:p>
      <w:pPr/>
      <w:r>
        <w:rPr>
          <w:i w:val="0"/>
        </w:rPr>
        <w:t>Source: HPB 01-Gen01-Gen41.PDF, principally Genesis 28 photographed pages 79–80</w:t>
      </w:r>
    </w:p>
    <w:p>
      <w:pPr>
        <w:pStyle w:val="Heading1"/>
      </w:pPr>
      <w:r>
        <w:t>CHAPTER OVERVIEW</w:t>
      </w:r>
    </w:p>
    <w:p>
      <w:pPr/>
      <w:r>
        <w:rPr>
          <w:i w:val="0"/>
        </w:rPr>
        <w:t>Genesis 28 begins Jacob’s long period of Divine education. Isaac now blesses him deliberately and explicitly gives him “the blessing of Abraham.” Esau attempts a superficial repair of his marriages, but Jacob leaves the land as a fugitive. At Bethel, in the moment of greatest loneliness, Yahweh personally renews the covenant to Jacob and promises presence, preservation and return.</w:t>
      </w:r>
    </w:p>
    <w:p>
      <w:pPr/>
      <w:r>
        <w:rPr>
          <w:i w:val="0"/>
        </w:rPr>
        <w:t>Mansfield develops the ladder/stairway, stone, oil and house-of-God imagery extensively. These typological applications are preserved, but they are kept distinct from the secure lexical and historical readings of the chapter.</w:t>
      </w:r>
    </w:p>
    <w:p>
      <w:pPr>
        <w:pStyle w:val="Heading1"/>
      </w:pPr>
      <w:r>
        <w:t>ISAAC FORMALLY BLESSES JACOB — GENESIS 28:1–5</w:t>
      </w:r>
    </w:p>
    <w:p>
      <w:pPr>
        <w:pStyle w:val="Heading2"/>
      </w:pPr>
      <w:r>
        <w:t>Genesis 28:1–2 — separation in marriage</w:t>
      </w:r>
    </w:p>
    <w:p>
      <w:pPr/>
      <w:r>
        <w:rPr>
          <w:i w:val="0"/>
        </w:rPr>
        <w:t>Isaac now acts openly: he blesses Jacob, forbids marriage with the daughters of Canaan, and sends him to Padan-aram to seek a wife from the family of Laban. This is no longer the confused scene of Genesis 27. Isaac has consciously accepted Jacob as the covenant heir and applies the same principle of family separation that governed the search for Rebekah in Genesis 24.</w:t>
      </w:r>
    </w:p>
    <w:p>
      <w:pPr>
        <w:pStyle w:val="Heading2"/>
      </w:pPr>
      <w:r>
        <w:t>Genesis 28:3–4 — El Shaddai and “the blessing of Abraham”</w:t>
      </w:r>
    </w:p>
    <w:p>
      <w:pPr/>
      <w:r>
        <w:rPr>
          <w:i w:val="0"/>
        </w:rPr>
        <w:t>Isaac invokes El Shaddai — God Almighty — and asks that Jacob be fruitful, multiplied and made “a multitude of people.” Mansfield recovers qahal behind “multitude,” a term for an assembly or congregation. The decisive words follow: “give thee the blessing of Abraham.” Jacob is to inherit the land in which he is presently only a stranger/sojourner. Hebrews 11:9–13 and Acts 7:5 confirm that this inheritance still required future fulfilment beyond the patriarchs’ mortal lives.</w:t>
      </w:r>
    </w:p>
    <w:p>
      <w:pPr>
        <w:pStyle w:val="Heading2"/>
      </w:pPr>
      <w:r>
        <w:t>Genesis 28:5 — Jacob departs with acknowledged covenant status</w:t>
      </w:r>
    </w:p>
    <w:p>
      <w:pPr/>
      <w:r>
        <w:rPr>
          <w:i w:val="0"/>
        </w:rPr>
        <w:t>Jacob leaves for Padan-aram to Laban, Rebekah’s brother. The narrative now names Rebekah as “Jacob’s and Esau’s mother,” placing Jacob first and reflecting his now-recognised covenant precedence.</w:t>
      </w:r>
    </w:p>
    <w:p>
      <w:pPr>
        <w:pStyle w:val="Heading1"/>
      </w:pPr>
      <w:r>
        <w:t>ESAU’S HALF-HEARTED REFORM — GENESIS 28:6–9</w:t>
      </w:r>
    </w:p>
    <w:p>
      <w:pPr>
        <w:pStyle w:val="Heading2"/>
      </w:pPr>
      <w:r>
        <w:t>Genesis 28:6–9 — adding Mahalath rather than changing direction</w:t>
      </w:r>
    </w:p>
    <w:p>
      <w:pPr/>
      <w:r>
        <w:rPr>
          <w:i w:val="0"/>
        </w:rPr>
        <w:t>Esau sees that Isaac has blessed Jacob and specifically prohibited a Canaanite wife. He therefore takes Mahalath, daughter of Ishmael, in addition to the wives he already has. Mansfield rightly calls this a half-hearted reform: Esau recognises parental displeasure but does not undo the alliances that caused it. His action is aimed more at pleasing Isaac than at responding to God’s covenant requirements.</w:t>
      </w:r>
    </w:p>
    <w:p>
      <w:pPr/>
      <w:r>
        <w:rPr>
          <w:i w:val="0"/>
        </w:rPr>
        <w:t>Mahalath is identified here as Ishmael’s daughter and Nebajoth’s sister. Genesis 36:3 uses the name Bashemath for Ishmael’s daughter; Mansfield follows the common explanation that the woman may have borne two names, but the exact relation of these name forms should be kept cautious.</w:t>
      </w:r>
    </w:p>
    <w:p>
      <w:pPr>
        <w:pStyle w:val="Heading1"/>
      </w:pPr>
      <w:r>
        <w:t>JACOB’S FLIGHT AND THE DREAM — GENESIS 28:10–15</w:t>
      </w:r>
    </w:p>
    <w:p>
      <w:pPr>
        <w:pStyle w:val="Heading2"/>
      </w:pPr>
      <w:r>
        <w:t>Genesis 28:10–11 — the fugitive at “a certain place”</w:t>
      </w:r>
    </w:p>
    <w:p>
      <w:pPr/>
      <w:r>
        <w:rPr>
          <w:i w:val="0"/>
        </w:rPr>
        <w:t>Jacob travels from Beersheba toward Haran. At sunset he reaches a place later identified as Bethel and lies down with a stone at his head. Mansfield stresses the setting: Jacob is alone, outside the security of home, fearful of Esau and beginning a journey of roughly 300 miles. The vulnerability of the fugitive becomes the setting for reassurance rather than abandonment.</w:t>
      </w:r>
    </w:p>
    <w:p>
      <w:pPr>
        <w:pStyle w:val="Heading2"/>
      </w:pPr>
      <w:r>
        <w:t>Genesis 28:12 — ladder or stairway</w:t>
      </w:r>
    </w:p>
    <w:p>
      <w:pPr/>
      <w:r>
        <w:rPr>
          <w:i w:val="0"/>
        </w:rPr>
        <w:t>The Hebrew sullam occurs only here and is commonly rendered “ladder”; “stairway” is an equally natural sense. It is set on earth and reaches heaven, while angels of God ascend and descend upon it. John 1:51 deliberately echoes the scene when Jesus speaks of angels ascending and descending upon the Son of Man. Mansfield therefore treats the stairway as a figure of Divine mediation joining heaven and earth, while avoiding claims about the exact physical appearance of the dream structure.</w:t>
      </w:r>
    </w:p>
    <w:p>
      <w:pPr>
        <w:pStyle w:val="Heading2"/>
      </w:pPr>
      <w:r>
        <w:t>Genesis 28:13–14 — the covenant personally renewed</w:t>
      </w:r>
    </w:p>
    <w:p>
      <w:pPr/>
      <w:r>
        <w:rPr>
          <w:i w:val="0"/>
        </w:rPr>
        <w:t>Yahweh identifies Himself as the God of Abraham and Isaac and promises Jacob the very land on which he lies. His seed will be as the dust of the earth and spread west, east, north and south. “In thee and in thy seed shall all the families of the earth be blessed” directly renews the Abrahamic Gospel promise (Genesis 12:3; Galatians 3:8).</w:t>
      </w:r>
    </w:p>
    <w:p>
      <w:pPr>
        <w:pStyle w:val="Heading2"/>
      </w:pPr>
      <w:r>
        <w:t>Genesis 28:15 — presence, preservation and return</w:t>
      </w:r>
    </w:p>
    <w:p>
      <w:pPr/>
      <w:r>
        <w:rPr>
          <w:i w:val="0"/>
        </w:rPr>
        <w:t>Four assurances govern Jacob’s coming years: “I am with thee”; “will keep thee”; “will bring thee again into this land”; and “will not leave thee” until the promise is performed. These statements are unconditional Divine commitments. Mansfield uses them as the framework for understanding the discipline Jacob will experience under Laban: hardship is not evidence that God has abandoned him.</w:t>
      </w:r>
    </w:p>
    <w:p>
      <w:pPr>
        <w:pStyle w:val="Heading1"/>
      </w:pPr>
      <w:r>
        <w:t>BETHEL — HOUSE OF GOD — GENESIS 28:16–19</w:t>
      </w:r>
    </w:p>
    <w:p>
      <w:pPr>
        <w:pStyle w:val="Heading2"/>
      </w:pPr>
      <w:r>
        <w:t>Genesis 28:16–17 — awakening to a presence already there</w:t>
      </w:r>
    </w:p>
    <w:p>
      <w:pPr/>
      <w:r>
        <w:rPr>
          <w:i w:val="0"/>
        </w:rPr>
        <w:t>Jacob wakes and says, “Surely Yahweh is in this place; and I knew it not.” The point is not that God has suddenly arrived, but that Jacob has become aware of the Divine presence. His fear leads him to describe the place as “the house of God” and “the gate of heaven.” Mansfield develops ecclesial applications from this language, but the immediate narrative marks Bethel as a place of revelation and access to God.</w:t>
      </w:r>
    </w:p>
    <w:p>
      <w:pPr>
        <w:pStyle w:val="Heading2"/>
      </w:pPr>
      <w:r>
        <w:t>Genesis 28:18 — the pillar and the oil</w:t>
      </w:r>
    </w:p>
    <w:p>
      <w:pPr/>
      <w:r>
        <w:rPr>
          <w:i w:val="0"/>
        </w:rPr>
        <w:t>Jacob rises early, takes the stone that had served at his head, sets it upright as a pillar and pours oil upon it. The pillar is a memorial of the revelation; the oil naturally carries the idea of consecration/anointing. Mansfield’s extended “Pillar of Bethel” exposition connects the stone with later house-of-God imagery such as 1 Timothy 3:15 and Ephesians 2:20. Those applications are preserved as typology, not as a claim that the stone itself was an altar or temple.</w:t>
      </w:r>
    </w:p>
    <w:p>
      <w:pPr>
        <w:pStyle w:val="Heading2"/>
      </w:pPr>
      <w:r>
        <w:t>Genesis 28:19 — Bethel and Luz</w:t>
      </w:r>
    </w:p>
    <w:p>
      <w:pPr/>
      <w:r>
        <w:rPr>
          <w:i w:val="0"/>
        </w:rPr>
        <w:t>Jacob calls the place Bethel, “House of El/God.” Its earlier name is Luz. Mansfield associates Luz with a nut-tree, probably the almond, and then with awakening/resurrection imagery. Since the normal Hebrew word for almond is shaqed rather than luz, that symbolism is best treated as an older lexical/place-name proposal rather than a certain derivation.</w:t>
      </w:r>
    </w:p>
    <w:p>
      <w:pPr>
        <w:pStyle w:val="Heading1"/>
      </w:pPr>
      <w:r>
        <w:t>JACOB’S VOW — GENESIS 28:20–22</w:t>
      </w:r>
    </w:p>
    <w:p>
      <w:pPr>
        <w:pStyle w:val="Heading2"/>
      </w:pPr>
      <w:r>
        <w:t>Genesis 28:20–21 — conditional grammar, developing faith</w:t>
      </w:r>
    </w:p>
    <w:p>
      <w:pPr/>
      <w:r>
        <w:rPr>
          <w:i w:val="0"/>
        </w:rPr>
        <w:t>Jacob vows concerning God’s presence, keeping, bread, clothing and safe return. The English “if” can sound as though Jacob is bargaining with God after receiving an unconditional promise. Mansfield rejects that crude reading and treats the vow as reciprocal dedication: since God is promising to do these things, Jacob binds himself to respond. The Revised Version margin also permits the clause “and Yahweh will be my God” to remain within the conditions requested rather than making God’s worship a reward Jacob might choose later.</w:t>
      </w:r>
    </w:p>
    <w:p>
      <w:pPr/>
      <w:r>
        <w:rPr>
          <w:i w:val="0"/>
        </w:rPr>
        <w:t>The chapter still reveals a faith that must mature. Jacob asks only for basic provision — bread and raiment — and for return to his father’s house in peace. His later life will show him learning, through painful experience, the full meaning of the promise already granted.</w:t>
      </w:r>
    </w:p>
    <w:p>
      <w:pPr>
        <w:pStyle w:val="Heading2"/>
      </w:pPr>
      <w:r>
        <w:t>Genesis 28:22 — house of God and the tenth</w:t>
      </w:r>
    </w:p>
    <w:p>
      <w:pPr/>
      <w:r>
        <w:rPr>
          <w:i w:val="0"/>
        </w:rPr>
        <w:t>Jacob declares that the memorial stone will stand in relation to “God’s house” and promises to give God a tenth of all he receives. Genesis 14:20 provides the patriarchal precedent in Abraham’s tithe to Melchizedek. Mansfield regards the tenth as a token acknowledging that the whole comes from God; the later Mosaic tithe laws formalise a principle already voluntarily expressed here.</w:t>
      </w:r>
    </w:p>
    <w:p>
      <w:pPr>
        <w:pStyle w:val="Heading1"/>
      </w:pPr>
      <w:r>
        <w:t>PRINCIPAL THEMES</w:t>
      </w:r>
    </w:p>
    <w:p>
      <w:pPr>
        <w:ind w:left="259" w:hanging="202"/>
      </w:pPr>
      <w:r>
        <w:rPr>
          <w:b/>
        </w:rPr>
        <w:t xml:space="preserve">• </w:t>
      </w:r>
      <w:r>
        <w:t>Isaac consciously and formally transfers the Abrahamic blessing to Jacob.</w:t>
      </w:r>
    </w:p>
    <w:p>
      <w:pPr>
        <w:ind w:left="259" w:hanging="202"/>
      </w:pPr>
      <w:r>
        <w:rPr>
          <w:b/>
        </w:rPr>
        <w:t xml:space="preserve">• </w:t>
      </w:r>
      <w:r>
        <w:t>Covenant privilege includes separation in marriage and conduct.</w:t>
      </w:r>
    </w:p>
    <w:p>
      <w:pPr>
        <w:ind w:left="259" w:hanging="202"/>
      </w:pPr>
      <w:r>
        <w:rPr>
          <w:b/>
        </w:rPr>
        <w:t xml:space="preserve">• </w:t>
      </w:r>
      <w:r>
        <w:t>Esau’s reform is superficial because it adds rather than truly changes.</w:t>
      </w:r>
    </w:p>
    <w:p>
      <w:pPr>
        <w:ind w:left="259" w:hanging="202"/>
      </w:pPr>
      <w:r>
        <w:rPr>
          <w:b/>
        </w:rPr>
        <w:t xml:space="preserve">• </w:t>
      </w:r>
      <w:r>
        <w:t>The Bethel stairway expresses Divine mediation between heaven and earth.</w:t>
      </w:r>
    </w:p>
    <w:p>
      <w:pPr>
        <w:ind w:left="259" w:hanging="202"/>
      </w:pPr>
      <w:r>
        <w:rPr>
          <w:b/>
        </w:rPr>
        <w:t xml:space="preserve">• </w:t>
      </w:r>
      <w:r>
        <w:t>Yahweh promises presence, preservation and return before Jacob’s long discipline begins.</w:t>
      </w:r>
    </w:p>
    <w:p>
      <w:pPr>
        <w:ind w:left="259" w:hanging="202"/>
      </w:pPr>
      <w:r>
        <w:rPr>
          <w:b/>
        </w:rPr>
        <w:t xml:space="preserve">• </w:t>
      </w:r>
      <w:r>
        <w:t>Bethel becomes the memorial place of revelation: stone, oil and house-of-God imagery.</w:t>
      </w:r>
    </w:p>
    <w:p>
      <w:pPr>
        <w:ind w:left="259" w:hanging="202"/>
      </w:pPr>
      <w:r>
        <w:rPr>
          <w:b/>
        </w:rPr>
        <w:t xml:space="preserve">• </w:t>
      </w:r>
      <w:r>
        <w:t>Jacob’s vow marks genuine faith that is still developing toward fuller trust.</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7"/>
              </w:rPr>
              <w:t>Location</w:t>
            </w:r>
          </w:p>
        </w:tc>
        <w:tc>
          <w:tcPr>
            <w:tcW w:type="dxa" w:w="3552"/>
          </w:tcPr>
          <w:p>
            <w:r>
              <w:rPr>
                <w:rFonts w:ascii="Arial" w:hAnsi="Arial"/>
                <w:b/>
                <w:sz w:val="17"/>
              </w:rPr>
              <w:t>Checked / corrected reading</w:t>
            </w:r>
          </w:p>
        </w:tc>
        <w:tc>
          <w:tcPr>
            <w:tcW w:type="dxa" w:w="3552"/>
          </w:tcPr>
          <w:p>
            <w:r>
              <w:rPr>
                <w:rFonts w:ascii="Arial" w:hAnsi="Arial"/>
                <w:b/>
                <w:sz w:val="17"/>
              </w:rPr>
              <w:t>Basis</w:t>
            </w:r>
          </w:p>
        </w:tc>
      </w:tr>
      <w:tr>
        <w:tc>
          <w:tcPr>
            <w:tcW w:type="dxa" w:w="3552"/>
            <w:vAlign w:val="top"/>
          </w:tcPr>
          <w:p>
            <w:pPr>
              <w:spacing w:after="0"/>
            </w:pPr>
            <w:r>
              <w:rPr>
                <w:rFonts w:ascii="Times New Roman" w:hAnsi="Times New Roman"/>
                <w:sz w:val="16"/>
              </w:rPr>
              <w:t>Gen. 28:3</w:t>
            </w:r>
          </w:p>
        </w:tc>
        <w:tc>
          <w:tcPr>
            <w:tcW w:type="dxa" w:w="3552"/>
            <w:vAlign w:val="top"/>
          </w:tcPr>
          <w:p>
            <w:pPr>
              <w:spacing w:after="0"/>
            </w:pPr>
            <w:r>
              <w:rPr>
                <w:rFonts w:ascii="Times New Roman" w:hAnsi="Times New Roman"/>
                <w:sz w:val="16"/>
              </w:rPr>
              <w:t>El Shaddai</w:t>
            </w:r>
          </w:p>
        </w:tc>
        <w:tc>
          <w:tcPr>
            <w:tcW w:type="dxa" w:w="3552"/>
            <w:vAlign w:val="top"/>
          </w:tcPr>
          <w:p>
            <w:pPr>
              <w:spacing w:after="0"/>
            </w:pPr>
            <w:r>
              <w:rPr>
                <w:rFonts w:ascii="Times New Roman" w:hAnsi="Times New Roman"/>
                <w:sz w:val="16"/>
              </w:rPr>
              <w:t>Correct Divine title; compare Gen. 17:1 and Exod. 6:3.</w:t>
            </w:r>
          </w:p>
        </w:tc>
      </w:tr>
      <w:tr>
        <w:tc>
          <w:tcPr>
            <w:tcW w:type="dxa" w:w="3552"/>
            <w:vAlign w:val="top"/>
          </w:tcPr>
          <w:p>
            <w:pPr>
              <w:spacing w:after="0"/>
            </w:pPr>
            <w:r>
              <w:rPr>
                <w:rFonts w:ascii="Times New Roman" w:hAnsi="Times New Roman"/>
                <w:sz w:val="16"/>
              </w:rPr>
              <w:t>Gen. 28:3</w:t>
            </w:r>
          </w:p>
        </w:tc>
        <w:tc>
          <w:tcPr>
            <w:tcW w:type="dxa" w:w="3552"/>
            <w:vAlign w:val="top"/>
          </w:tcPr>
          <w:p>
            <w:pPr>
              <w:spacing w:after="0"/>
            </w:pPr>
            <w:r>
              <w:rPr>
                <w:rFonts w:ascii="Times New Roman" w:hAnsi="Times New Roman"/>
                <w:sz w:val="16"/>
              </w:rPr>
              <w:t>qahal</w:t>
            </w:r>
          </w:p>
        </w:tc>
        <w:tc>
          <w:tcPr>
            <w:tcW w:type="dxa" w:w="3552"/>
            <w:vAlign w:val="top"/>
          </w:tcPr>
          <w:p>
            <w:pPr>
              <w:spacing w:after="0"/>
            </w:pPr>
            <w:r>
              <w:rPr>
                <w:rFonts w:ascii="Times New Roman" w:hAnsi="Times New Roman"/>
                <w:sz w:val="16"/>
              </w:rPr>
              <w:t>Recovered behind “multitude of people”: assembly/congregation, not merely a numerical crowd.</w:t>
            </w:r>
          </w:p>
        </w:tc>
      </w:tr>
      <w:tr>
        <w:tc>
          <w:tcPr>
            <w:tcW w:type="dxa" w:w="3552"/>
            <w:vAlign w:val="top"/>
          </w:tcPr>
          <w:p>
            <w:pPr>
              <w:spacing w:after="0"/>
            </w:pPr>
            <w:r>
              <w:rPr>
                <w:rFonts w:ascii="Times New Roman" w:hAnsi="Times New Roman"/>
                <w:sz w:val="16"/>
              </w:rPr>
              <w:t>Gen. 28:4</w:t>
            </w:r>
          </w:p>
        </w:tc>
        <w:tc>
          <w:tcPr>
            <w:tcW w:type="dxa" w:w="3552"/>
            <w:vAlign w:val="top"/>
          </w:tcPr>
          <w:p>
            <w:pPr>
              <w:spacing w:after="0"/>
            </w:pPr>
            <w:r>
              <w:rPr>
                <w:rFonts w:ascii="Times New Roman" w:hAnsi="Times New Roman"/>
                <w:sz w:val="16"/>
              </w:rPr>
              <w:t>Heb. 11:9–13; Acts 7:5</w:t>
            </w:r>
          </w:p>
        </w:tc>
        <w:tc>
          <w:tcPr>
            <w:tcW w:type="dxa" w:w="3552"/>
            <w:vAlign w:val="top"/>
          </w:tcPr>
          <w:p>
            <w:pPr>
              <w:spacing w:after="0"/>
            </w:pPr>
            <w:r>
              <w:rPr>
                <w:rFonts w:ascii="Times New Roman" w:hAnsi="Times New Roman"/>
                <w:sz w:val="16"/>
              </w:rPr>
              <w:t>Checks the inheritance/sojourning language and its future fulfilment.</w:t>
            </w:r>
          </w:p>
        </w:tc>
      </w:tr>
      <w:tr>
        <w:tc>
          <w:tcPr>
            <w:tcW w:type="dxa" w:w="3552"/>
            <w:vAlign w:val="top"/>
          </w:tcPr>
          <w:p>
            <w:pPr>
              <w:spacing w:after="0"/>
            </w:pPr>
            <w:r>
              <w:rPr>
                <w:rFonts w:ascii="Times New Roman" w:hAnsi="Times New Roman"/>
                <w:sz w:val="16"/>
              </w:rPr>
              <w:t>Gen. 28:6–9</w:t>
            </w:r>
          </w:p>
        </w:tc>
        <w:tc>
          <w:tcPr>
            <w:tcW w:type="dxa" w:w="3552"/>
            <w:vAlign w:val="top"/>
          </w:tcPr>
          <w:p>
            <w:pPr>
              <w:spacing w:after="0"/>
            </w:pPr>
            <w:r>
              <w:rPr>
                <w:rFonts w:ascii="Times New Roman" w:hAnsi="Times New Roman"/>
                <w:sz w:val="16"/>
              </w:rPr>
              <w:t>Gen. 36:3</w:t>
            </w:r>
          </w:p>
        </w:tc>
        <w:tc>
          <w:tcPr>
            <w:tcW w:type="dxa" w:w="3552"/>
            <w:vAlign w:val="top"/>
          </w:tcPr>
          <w:p>
            <w:pPr>
              <w:spacing w:after="0"/>
            </w:pPr>
            <w:r>
              <w:rPr>
                <w:rFonts w:ascii="Times New Roman" w:hAnsi="Times New Roman"/>
                <w:sz w:val="16"/>
              </w:rPr>
              <w:t>Mahalath/Bashemath name issue retained cautiously rather than silently harmonised.</w:t>
            </w:r>
          </w:p>
        </w:tc>
      </w:tr>
      <w:tr>
        <w:tc>
          <w:tcPr>
            <w:tcW w:type="dxa" w:w="3552"/>
            <w:vAlign w:val="top"/>
          </w:tcPr>
          <w:p>
            <w:pPr>
              <w:spacing w:after="0"/>
            </w:pPr>
            <w:r>
              <w:rPr>
                <w:rFonts w:ascii="Times New Roman" w:hAnsi="Times New Roman"/>
                <w:sz w:val="16"/>
              </w:rPr>
              <w:t>Gen. 28:10</w:t>
            </w:r>
          </w:p>
        </w:tc>
        <w:tc>
          <w:tcPr>
            <w:tcW w:type="dxa" w:w="3552"/>
            <w:vAlign w:val="top"/>
          </w:tcPr>
          <w:p>
            <w:pPr>
              <w:spacing w:after="0"/>
            </w:pPr>
            <w:r>
              <w:rPr>
                <w:rFonts w:ascii="Times New Roman" w:hAnsi="Times New Roman"/>
                <w:sz w:val="16"/>
              </w:rPr>
              <w:t>c.300 miles to Haran</w:t>
            </w:r>
          </w:p>
        </w:tc>
        <w:tc>
          <w:tcPr>
            <w:tcW w:type="dxa" w:w="3552"/>
            <w:vAlign w:val="top"/>
          </w:tcPr>
          <w:p>
            <w:pPr>
              <w:spacing w:after="0"/>
            </w:pPr>
            <w:r>
              <w:rPr>
                <w:rFonts w:ascii="Times New Roman" w:hAnsi="Times New Roman"/>
                <w:sz w:val="16"/>
              </w:rPr>
              <w:t>Mansfield’s approximate journey distance retained as orientation, not a verse datum.</w:t>
            </w:r>
          </w:p>
        </w:tc>
      </w:tr>
      <w:tr>
        <w:tc>
          <w:tcPr>
            <w:tcW w:type="dxa" w:w="3552"/>
            <w:vAlign w:val="top"/>
          </w:tcPr>
          <w:p>
            <w:pPr>
              <w:spacing w:after="0"/>
            </w:pPr>
            <w:r>
              <w:rPr>
                <w:rFonts w:ascii="Times New Roman" w:hAnsi="Times New Roman"/>
                <w:sz w:val="16"/>
              </w:rPr>
              <w:t>Gen. 28:12</w:t>
            </w:r>
          </w:p>
        </w:tc>
        <w:tc>
          <w:tcPr>
            <w:tcW w:type="dxa" w:w="3552"/>
            <w:vAlign w:val="top"/>
          </w:tcPr>
          <w:p>
            <w:pPr>
              <w:spacing w:after="0"/>
            </w:pPr>
            <w:r>
              <w:rPr>
                <w:rFonts w:ascii="Times New Roman" w:hAnsi="Times New Roman"/>
                <w:sz w:val="16"/>
              </w:rPr>
              <w:t>sullam; John 1:51</w:t>
            </w:r>
          </w:p>
        </w:tc>
        <w:tc>
          <w:tcPr>
            <w:tcW w:type="dxa" w:w="3552"/>
            <w:vAlign w:val="top"/>
          </w:tcPr>
          <w:p>
            <w:pPr>
              <w:spacing w:after="0"/>
            </w:pPr>
            <w:r>
              <w:rPr>
                <w:rFonts w:ascii="Times New Roman" w:hAnsi="Times New Roman"/>
                <w:sz w:val="16"/>
              </w:rPr>
              <w:t>“Stairway/ladder” recovered; New Testament allusion securely checked.</w:t>
            </w:r>
          </w:p>
        </w:tc>
      </w:tr>
      <w:tr>
        <w:tc>
          <w:tcPr>
            <w:tcW w:type="dxa" w:w="3552"/>
            <w:vAlign w:val="top"/>
          </w:tcPr>
          <w:p>
            <w:pPr>
              <w:spacing w:after="0"/>
            </w:pPr>
            <w:r>
              <w:rPr>
                <w:rFonts w:ascii="Times New Roman" w:hAnsi="Times New Roman"/>
                <w:sz w:val="16"/>
              </w:rPr>
              <w:t>Gen. 28:13–14</w:t>
            </w:r>
          </w:p>
        </w:tc>
        <w:tc>
          <w:tcPr>
            <w:tcW w:type="dxa" w:w="3552"/>
            <w:vAlign w:val="top"/>
          </w:tcPr>
          <w:p>
            <w:pPr>
              <w:spacing w:after="0"/>
            </w:pPr>
            <w:r>
              <w:rPr>
                <w:rFonts w:ascii="Times New Roman" w:hAnsi="Times New Roman"/>
                <w:sz w:val="16"/>
              </w:rPr>
              <w:t>Gen. 12:3; Gal. 3:8</w:t>
            </w:r>
          </w:p>
        </w:tc>
        <w:tc>
          <w:tcPr>
            <w:tcW w:type="dxa" w:w="3552"/>
            <w:vAlign w:val="top"/>
          </w:tcPr>
          <w:p>
            <w:pPr>
              <w:spacing w:after="0"/>
            </w:pPr>
            <w:r>
              <w:rPr>
                <w:rFonts w:ascii="Times New Roman" w:hAnsi="Times New Roman"/>
                <w:sz w:val="16"/>
              </w:rPr>
              <w:t>Confirms direct renewal of the Abrahamic Gospel promise.</w:t>
            </w:r>
          </w:p>
        </w:tc>
      </w:tr>
      <w:tr>
        <w:tc>
          <w:tcPr>
            <w:tcW w:type="dxa" w:w="3552"/>
            <w:vAlign w:val="top"/>
          </w:tcPr>
          <w:p>
            <w:pPr>
              <w:spacing w:after="0"/>
            </w:pPr>
            <w:r>
              <w:rPr>
                <w:rFonts w:ascii="Times New Roman" w:hAnsi="Times New Roman"/>
                <w:sz w:val="16"/>
              </w:rPr>
              <w:t>Gen. 28:15</w:t>
            </w:r>
          </w:p>
        </w:tc>
        <w:tc>
          <w:tcPr>
            <w:tcW w:type="dxa" w:w="3552"/>
            <w:vAlign w:val="top"/>
          </w:tcPr>
          <w:p>
            <w:pPr>
              <w:spacing w:after="0"/>
            </w:pPr>
            <w:r>
              <w:rPr>
                <w:rFonts w:ascii="Times New Roman" w:hAnsi="Times New Roman"/>
                <w:sz w:val="16"/>
              </w:rPr>
              <w:t>Gen. 48:15–16</w:t>
            </w:r>
          </w:p>
        </w:tc>
        <w:tc>
          <w:tcPr>
            <w:tcW w:type="dxa" w:w="3552"/>
            <w:vAlign w:val="top"/>
          </w:tcPr>
          <w:p>
            <w:pPr>
              <w:spacing w:after="0"/>
            </w:pPr>
            <w:r>
              <w:rPr>
                <w:rFonts w:ascii="Times New Roman" w:hAnsi="Times New Roman"/>
                <w:sz w:val="16"/>
              </w:rPr>
              <w:t>Checks Mansfield’s reading of lifelong Divine preservation.</w:t>
            </w:r>
          </w:p>
        </w:tc>
      </w:tr>
      <w:tr>
        <w:tc>
          <w:tcPr>
            <w:tcW w:type="dxa" w:w="3552"/>
            <w:vAlign w:val="top"/>
          </w:tcPr>
          <w:p>
            <w:pPr>
              <w:spacing w:after="0"/>
            </w:pPr>
            <w:r>
              <w:rPr>
                <w:rFonts w:ascii="Times New Roman" w:hAnsi="Times New Roman"/>
                <w:sz w:val="16"/>
              </w:rPr>
              <w:t>Gen. 28:18</w:t>
            </w:r>
          </w:p>
        </w:tc>
        <w:tc>
          <w:tcPr>
            <w:tcW w:type="dxa" w:w="3552"/>
            <w:vAlign w:val="top"/>
          </w:tcPr>
          <w:p>
            <w:pPr>
              <w:spacing w:after="0"/>
            </w:pPr>
            <w:r>
              <w:rPr>
                <w:rFonts w:ascii="Times New Roman" w:hAnsi="Times New Roman"/>
                <w:sz w:val="16"/>
              </w:rPr>
              <w:t>1 Tim. 3:15; Eph. 2:20</w:t>
            </w:r>
          </w:p>
        </w:tc>
        <w:tc>
          <w:tcPr>
            <w:tcW w:type="dxa" w:w="3552"/>
            <w:vAlign w:val="top"/>
          </w:tcPr>
          <w:p>
            <w:pPr>
              <w:spacing w:after="0"/>
            </w:pPr>
            <w:r>
              <w:rPr>
                <w:rFonts w:ascii="Times New Roman" w:hAnsi="Times New Roman"/>
                <w:sz w:val="16"/>
              </w:rPr>
              <w:t>Supports later house/pillar typology without turning it into lexical fact.</w:t>
            </w:r>
          </w:p>
        </w:tc>
      </w:tr>
      <w:tr>
        <w:tc>
          <w:tcPr>
            <w:tcW w:type="dxa" w:w="3552"/>
            <w:vAlign w:val="top"/>
          </w:tcPr>
          <w:p>
            <w:pPr>
              <w:spacing w:after="0"/>
            </w:pPr>
            <w:r>
              <w:rPr>
                <w:rFonts w:ascii="Times New Roman" w:hAnsi="Times New Roman"/>
                <w:sz w:val="16"/>
              </w:rPr>
              <w:t>Gen. 28:19</w:t>
            </w:r>
          </w:p>
        </w:tc>
        <w:tc>
          <w:tcPr>
            <w:tcW w:type="dxa" w:w="3552"/>
            <w:vAlign w:val="top"/>
          </w:tcPr>
          <w:p>
            <w:pPr>
              <w:spacing w:after="0"/>
            </w:pPr>
            <w:r>
              <w:rPr>
                <w:rFonts w:ascii="Times New Roman" w:hAnsi="Times New Roman"/>
                <w:sz w:val="16"/>
              </w:rPr>
              <w:t>Bethel = House of El</w:t>
            </w:r>
          </w:p>
        </w:tc>
        <w:tc>
          <w:tcPr>
            <w:tcW w:type="dxa" w:w="3552"/>
            <w:vAlign w:val="top"/>
          </w:tcPr>
          <w:p>
            <w:pPr>
              <w:spacing w:after="0"/>
            </w:pPr>
            <w:r>
              <w:rPr>
                <w:rFonts w:ascii="Times New Roman" w:hAnsi="Times New Roman"/>
                <w:sz w:val="16"/>
              </w:rPr>
              <w:t>Secure place-name meaning; Luz/almoned symbolism kept tentative.</w:t>
            </w:r>
          </w:p>
        </w:tc>
      </w:tr>
      <w:tr>
        <w:tc>
          <w:tcPr>
            <w:tcW w:type="dxa" w:w="3552"/>
            <w:vAlign w:val="top"/>
          </w:tcPr>
          <w:p>
            <w:pPr>
              <w:spacing w:after="0"/>
            </w:pPr>
            <w:r>
              <w:rPr>
                <w:rFonts w:ascii="Times New Roman" w:hAnsi="Times New Roman"/>
                <w:sz w:val="16"/>
              </w:rPr>
              <w:t>Gen. 28:20–21</w:t>
            </w:r>
          </w:p>
        </w:tc>
        <w:tc>
          <w:tcPr>
            <w:tcW w:type="dxa" w:w="3552"/>
            <w:vAlign w:val="top"/>
          </w:tcPr>
          <w:p>
            <w:pPr>
              <w:spacing w:after="0"/>
            </w:pPr>
            <w:r>
              <w:rPr>
                <w:rFonts w:ascii="Times New Roman" w:hAnsi="Times New Roman"/>
                <w:sz w:val="16"/>
              </w:rPr>
              <w:t>RV margin</w:t>
            </w:r>
          </w:p>
        </w:tc>
        <w:tc>
          <w:tcPr>
            <w:tcW w:type="dxa" w:w="3552"/>
            <w:vAlign w:val="top"/>
          </w:tcPr>
          <w:p>
            <w:pPr>
              <w:spacing w:after="0"/>
            </w:pPr>
            <w:r>
              <w:rPr>
                <w:rFonts w:ascii="Times New Roman" w:hAnsi="Times New Roman"/>
                <w:sz w:val="16"/>
              </w:rPr>
              <w:t>Avoids the simplistic claim that Jacob bargained over whether Yahweh would be his God.</w:t>
            </w:r>
          </w:p>
        </w:tc>
      </w:tr>
      <w:tr>
        <w:tc>
          <w:tcPr>
            <w:tcW w:type="dxa" w:w="3552"/>
            <w:vAlign w:val="top"/>
          </w:tcPr>
          <w:p>
            <w:pPr>
              <w:spacing w:after="0"/>
            </w:pPr>
            <w:r>
              <w:rPr>
                <w:rFonts w:ascii="Times New Roman" w:hAnsi="Times New Roman"/>
                <w:sz w:val="16"/>
              </w:rPr>
              <w:t>Gen. 28:22</w:t>
            </w:r>
          </w:p>
        </w:tc>
        <w:tc>
          <w:tcPr>
            <w:tcW w:type="dxa" w:w="3552"/>
            <w:vAlign w:val="top"/>
          </w:tcPr>
          <w:p>
            <w:pPr>
              <w:spacing w:after="0"/>
            </w:pPr>
            <w:r>
              <w:rPr>
                <w:rFonts w:ascii="Times New Roman" w:hAnsi="Times New Roman"/>
                <w:sz w:val="16"/>
              </w:rPr>
              <w:t>Gen. 14:20</w:t>
            </w:r>
          </w:p>
        </w:tc>
        <w:tc>
          <w:tcPr>
            <w:tcW w:type="dxa" w:w="3552"/>
            <w:vAlign w:val="top"/>
          </w:tcPr>
          <w:p>
            <w:pPr>
              <w:spacing w:after="0"/>
            </w:pPr>
            <w:r>
              <w:rPr>
                <w:rFonts w:ascii="Times New Roman" w:hAnsi="Times New Roman"/>
                <w:sz w:val="16"/>
              </w:rPr>
              <w:t>Checks Abrahamic precedent for the tenth.</w:t>
            </w:r>
          </w:p>
        </w:tc>
      </w:tr>
    </w:tbl>
    <w:p>
      <w:pPr>
        <w:pStyle w:val="Heading1"/>
      </w:pPr>
      <w:r>
        <w:t>RESIDUAL UNCERTAINTIES</w:t>
      </w:r>
    </w:p>
    <w:p>
      <w:pPr/>
      <w:r>
        <w:rPr>
          <w:i w:val="0"/>
        </w:rPr>
        <w:t>Mansfield’s reconstruction of the Bethel terrain as naturally resembling a staircase is illustrative rather than demonstrable from Genesis. The older derivation of Luz as a nut- or almond-tree is not as secure as Bethel’s transparent meaning. The extended ecclesial interpretation of Jacob’s pillar is Mansfield’s typology and has therefore been kept distinct from the historical act of erecting and anointing a memorial stone.</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80" w:after="30"/>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pageBreakBefore w:val="0"/>
      <w:spacing w:before="50" w:after="20"/>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