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29</w:t>
      </w:r>
    </w:p>
    <w:p>
      <w:pPr>
        <w:pStyle w:val="Subtitle"/>
      </w:pPr>
      <w:r>
        <w:t>PROVIDENCE AT THE WELL • JACOB’S LOVE FOR RACHEL • THE DECEIVER DECEIVED • YAHWEH SEES LEAH</w:t>
      </w:r>
    </w:p>
    <w:p>
      <w:pPr/>
      <w:r>
        <w:rPr>
          <w:i/>
        </w:rPr>
        <w:t>H. P. Mansfield Bible notes — checked and arranged in verse-by-verse Expositor style</w:t>
      </w:r>
    </w:p>
    <w:p>
      <w:pPr/>
      <w:r>
        <w:rPr>
          <w:i w:val="0"/>
        </w:rPr>
        <w:t>Source: HPB 01-Gen01-Gen41.PDF, principally Genesis 29 photographed pages 80–81</w:t>
      </w:r>
    </w:p>
    <w:p>
      <w:pPr>
        <w:pStyle w:val="Heading1"/>
      </w:pPr>
      <w:r>
        <w:t>CHAPTER OVERVIEW</w:t>
      </w:r>
    </w:p>
    <w:p>
      <w:pPr/>
      <w:r>
        <w:rPr>
          <w:i w:val="0"/>
        </w:rPr>
        <w:t>Jacob leaves Bethel strengthened by the promise of Divine presence and reaches Haran, where providence brings him immediately to Rachel. His love is expressed in seven years of willing service. Laban then deceives Jacob by substituting Leah at the wedding, giving the man who deceived Isaac a painful experience of being deceived himself. The chapter closes by turning attention from human preference to Yahweh’s compassion for Leah.</w:t>
      </w:r>
    </w:p>
    <w:p>
      <w:pPr/>
      <w:r>
        <w:rPr>
          <w:i w:val="0"/>
        </w:rPr>
        <w:t>Mansfield develops an extended Leah/Rachel allegory. It is retained where useful, but the verse-by-verse notes distinguish the secure historical narrative and Hebrew wordplay from typological applications.</w:t>
      </w:r>
    </w:p>
    <w:p>
      <w:pPr>
        <w:pStyle w:val="Heading1"/>
      </w:pPr>
      <w:r>
        <w:t>JACOB AT THE WELL OF HARAN — GENESIS 29:1–8</w:t>
      </w:r>
    </w:p>
    <w:p>
      <w:pPr>
        <w:pStyle w:val="Heading2"/>
      </w:pPr>
      <w:r>
        <w:t>Genesis 29:1 — “Jacob lifted up his feet”</w:t>
      </w:r>
    </w:p>
    <w:p>
      <w:pPr/>
      <w:r>
        <w:rPr>
          <w:i w:val="0"/>
        </w:rPr>
        <w:t>The Hebrew idiom behind “went on his journey” is literally that Jacob “lifted up his feet.” Mansfield uses the expression well: after the despondency before Bethel, Jacob now travels with renewed energy because Yahweh has promised to be with him (Genesis 28:15). He reaches the land of the people of the east, the Mesopotamian region from which Abraham’s family had come.</w:t>
      </w:r>
    </w:p>
    <w:p>
      <w:pPr>
        <w:pStyle w:val="Heading2"/>
      </w:pPr>
      <w:r>
        <w:t>Genesis 29:2–3 — the well and the great stone</w:t>
      </w:r>
    </w:p>
    <w:p>
      <w:pPr/>
      <w:r>
        <w:rPr>
          <w:i w:val="0"/>
        </w:rPr>
        <w:t>Three flocks lie beside a well covered by a large stone. The narrator explains the ordinary procedure: when the flocks are gathered, the shepherds roll away the stone, water them, and replace it. Mansfield draws Gospel symbolism from the well and stone; historically, the important point is that the shared arrangement normally required the shepherding community to act together.</w:t>
      </w:r>
    </w:p>
    <w:p>
      <w:pPr>
        <w:pStyle w:val="Heading2"/>
      </w:pPr>
      <w:r>
        <w:t>Genesis 29:4–8 — providence directs the conversation</w:t>
      </w:r>
    </w:p>
    <w:p>
      <w:pPr/>
      <w:r>
        <w:rPr>
          <w:i w:val="0"/>
        </w:rPr>
        <w:t>The shepherds are from Haran, know Laban, and announce that Rachel is approaching with the sheep. “Is he well?” is literally an enquiry about shalom — peace/welfare — not merely bodily health. Laban is called “the son of Nahor,” although he is more precisely Nahor’s grandson; Hebrew family terms can use “son” more broadly for a descendant.</w:t>
      </w:r>
    </w:p>
    <w:p>
      <w:pPr/>
      <w:r>
        <w:rPr>
          <w:i w:val="0"/>
        </w:rPr>
        <w:t>Jacob urges the shepherds to water the sheep while it is still high day. They explain that they cannot do so until the flocks are gathered and the stone is rolled away. Mansfield interprets this as a local rule rather than proof that the stone was too heavy for the men, since Jacob shortly moves it himself.</w:t>
      </w:r>
    </w:p>
    <w:p>
      <w:pPr>
        <w:pStyle w:val="Heading1"/>
      </w:pPr>
      <w:r>
        <w:t>JACOB MEETS RACHEL — GENESIS 29:9–14</w:t>
      </w:r>
    </w:p>
    <w:p>
      <w:pPr>
        <w:pStyle w:val="Heading2"/>
      </w:pPr>
      <w:r>
        <w:t>Genesis 29:9–10 — Rachel the shepherdess</w:t>
      </w:r>
    </w:p>
    <w:p>
      <w:pPr/>
      <w:r>
        <w:rPr>
          <w:i w:val="0"/>
        </w:rPr>
        <w:t>Rachel arrives with her father’s sheep: the Hebrew description makes her a shepherdess. Rachel means “ewe.” Seeing both Rachel and Laban’s flock, Jacob rolls the stone away and waters the sheep. The repeated phrase “his mother’s brother” emphasises the family connection Jacob has been seeking and his recognition that the events answer the guidance promised at Bethel.</w:t>
      </w:r>
    </w:p>
    <w:p>
      <w:pPr>
        <w:pStyle w:val="Heading2"/>
      </w:pPr>
      <w:r>
        <w:t>Genesis 29:11–12 — kiss, tears and family identity</w:t>
      </w:r>
    </w:p>
    <w:p>
      <w:pPr/>
      <w:r>
        <w:rPr>
          <w:i w:val="0"/>
        </w:rPr>
        <w:t>Jacob kisses Rachel and weeps aloud, overwhelmed at the successful end of a lonely journey. He then makes his relationship clear: he is Rebekah’s son and a close kinsman of Laban. The term “brother” in the narrative can denote a near relative rather than a literal sibling, as elsewhere in Genesis.</w:t>
      </w:r>
    </w:p>
    <w:p>
      <w:pPr>
        <w:pStyle w:val="Heading2"/>
      </w:pPr>
      <w:r>
        <w:t>Genesis 29:13–14 — Laban’s welcome</w:t>
      </w:r>
    </w:p>
    <w:p>
      <w:pPr/>
      <w:r>
        <w:rPr>
          <w:i w:val="0"/>
        </w:rPr>
        <w:t>Laban runs to meet Jacob, embraces and kisses him, and receives him into the household. “Surely thou art my bone and my flesh” acknowledges blood kinship. Jacob remains a month. Mansfield notes that Laban’s initial warmth may have been genuine, although later covetous conduct increasingly corrupts the relationship.</w:t>
      </w:r>
    </w:p>
    <w:p>
      <w:pPr>
        <w:pStyle w:val="Heading1"/>
      </w:pPr>
      <w:r>
        <w:t>JACOB SERVES FOR RACHEL — GENESIS 29:15–20</w:t>
      </w:r>
    </w:p>
    <w:p>
      <w:pPr>
        <w:pStyle w:val="Heading2"/>
      </w:pPr>
      <w:r>
        <w:t>Genesis 29:15–17 — Leah and Rachel</w:t>
      </w:r>
    </w:p>
    <w:p>
      <w:pPr/>
      <w:r>
        <w:rPr>
          <w:i w:val="0"/>
        </w:rPr>
        <w:t>Laban proposes wages. His daughters are Leah the elder and Rachel the younger. Leah’s eyes are called rakkoth, the plural of rakh: soft, tender, delicate or weak. The KJV’s “tender eyed” is therefore literal enough, but it does not prove defective sight. Mansfield’s stronger “dull-eyed” interpretation should be treated as exposition rather than a certain medical description. Rachel, by contrast, is “beautiful of form and beautiful of appearance.”</w:t>
      </w:r>
    </w:p>
    <w:p>
      <w:pPr>
        <w:pStyle w:val="Heading2"/>
      </w:pPr>
      <w:r>
        <w:t>Genesis 29:18–20 — seven years that seem like days</w:t>
      </w:r>
    </w:p>
    <w:p>
      <w:pPr/>
      <w:r>
        <w:rPr>
          <w:i w:val="0"/>
        </w:rPr>
        <w:t>Jacob loves Rachel and offers seven years of service because he has no recorded marriage gift to offer. Hosea 12:12 later summarises that “Israel served for a wife, and for a wife he kept sheep.” The seven years seem to Jacob “but a few days, for the love he had to her.” Mansfield rightly emphasises willing labour transformed by love rather than grudging payment.</w:t>
      </w:r>
    </w:p>
    <w:p>
      <w:pPr/>
      <w:r>
        <w:rPr>
          <w:i w:val="0"/>
        </w:rPr>
        <w:t>Mansfield’s wider chronology argues that Jacob was about fifty-seven when he left home, against the more traditional calculation of about seventy-seven. Because Genesis 29 does not state Jacob’s age, the reconstructed figure is kept outside the main reading.</w:t>
      </w:r>
    </w:p>
    <w:p>
      <w:pPr>
        <w:pStyle w:val="Heading1"/>
      </w:pPr>
      <w:r>
        <w:t>JACOB IS DECEIVED — GENESIS 29:21–30</w:t>
      </w:r>
    </w:p>
    <w:p>
      <w:pPr>
        <w:pStyle w:val="Heading2"/>
      </w:pPr>
      <w:r>
        <w:t>Genesis 29:21–24 — Leah substituted at night</w:t>
      </w:r>
    </w:p>
    <w:p>
      <w:pPr/>
      <w:r>
        <w:rPr>
          <w:i w:val="0"/>
        </w:rPr>
        <w:t>When the seven years are complete, Laban holds a marriage feast but gives Leah to Jacob in the evening. The darkness and normal bridal veiling make the substitution possible. Zilpah is given to Leah as her maid. Mansfield strongly marks the moral irony: Jacob, who had used disguise and his father’s blindness to deceive, is now deceived because he himself cannot identify the person before him.</w:t>
      </w:r>
    </w:p>
    <w:p>
      <w:pPr>
        <w:pStyle w:val="Heading2"/>
      </w:pPr>
      <w:r>
        <w:t>Genesis 29:25 — “in the morning, behold, it was Leah”</w:t>
      </w:r>
    </w:p>
    <w:p>
      <w:pPr/>
      <w:r>
        <w:rPr>
          <w:i w:val="0"/>
        </w:rPr>
        <w:t>The abrupt wording conveys Jacob’s shock. He asks Laban, “wherefore then hast thou beguiled me?” The chapter does not say that God approved Laban’s fraud; rather, Jacob’s experience becomes part of the discipline through which he learns the pain created by deception.</w:t>
      </w:r>
    </w:p>
    <w:p>
      <w:pPr>
        <w:pStyle w:val="Heading2"/>
      </w:pPr>
      <w:r>
        <w:t>Genesis 29:26–28 — “the younger before the firstborn”</w:t>
      </w:r>
    </w:p>
    <w:p>
      <w:pPr/>
      <w:r>
        <w:rPr>
          <w:i w:val="0"/>
        </w:rPr>
        <w:t>Laban appeals to local custom: the younger daughter must not be given before the firstborn. The wording is deliberately ironic after Jacob’s own struggle over firstborn privilege. Whatever the local custom, Laban’s excuse does not justify promising Rachel without disclosing it beforehand.</w:t>
      </w:r>
    </w:p>
    <w:p>
      <w:pPr/>
      <w:r>
        <w:rPr>
          <w:i w:val="0"/>
        </w:rPr>
        <w:t>“Fulfil her week” refers to Leah’s wedding week. Jacob receives Rachel after that week, not after serving another seven years first. Genesis 29:28–30 then states that he serves Laban “yet seven other years” after Rachel has become his wife. This chronology is important and is sometimes misread.</w:t>
      </w:r>
    </w:p>
    <w:p>
      <w:pPr>
        <w:pStyle w:val="Heading2"/>
      </w:pPr>
      <w:r>
        <w:t>Genesis 29:29–30 — Rachel received, preference continues</w:t>
      </w:r>
    </w:p>
    <w:p>
      <w:pPr/>
      <w:r>
        <w:rPr>
          <w:i w:val="0"/>
        </w:rPr>
        <w:t>Bilhah is given to Rachel as maid. Jacob loves Rachel more than Leah and serves the additional seven years. The unequal affection sets up the family tensions of the chapters that follow; the narrative records the preference without presenting it as harmless.</w:t>
      </w:r>
    </w:p>
    <w:p>
      <w:pPr>
        <w:pStyle w:val="Heading1"/>
      </w:pPr>
      <w:r>
        <w:t>YAHWEH SEES LEAH — GENESIS 29:31–35</w:t>
      </w:r>
    </w:p>
    <w:p>
      <w:pPr>
        <w:pStyle w:val="Heading2"/>
      </w:pPr>
      <w:r>
        <w:t>Genesis 29:31 — “Leah was hated”</w:t>
      </w:r>
    </w:p>
    <w:p>
      <w:pPr/>
      <w:r>
        <w:rPr>
          <w:i w:val="0"/>
        </w:rPr>
        <w:t>The context itself qualifies the word: verse 30 says Jacob loved Rachel more than Leah. “Hated” therefore functions as a Hebrew comparative idiom for being less loved or not preferred, as also illustrated by Deuteronomy 21:15. Yahweh sees Leah’s painful position and opens her womb, while Rachel remains barren. The covenant Name Yahweh is prominent in the names and explanations that follow.</w:t>
      </w:r>
    </w:p>
    <w:p>
      <w:pPr>
        <w:pStyle w:val="Heading2"/>
      </w:pPr>
      <w:r>
        <w:t>Genesis 29:32 — Reuben: “See, a son”</w:t>
      </w:r>
    </w:p>
    <w:p>
      <w:pPr/>
      <w:r>
        <w:rPr>
          <w:i w:val="0"/>
        </w:rPr>
        <w:t>Reuben (Re’uven) is associated in the narrative with seeing: “Surely Yahweh hath looked upon my affliction.” Leah hopes that the son will cause Jacob to love her. Mansfield summarises the name as “See, a Son,” which captures the intended wordplay even though Hebrew personal-name etymologies can involve more than one verbal association.</w:t>
      </w:r>
    </w:p>
    <w:p>
      <w:pPr>
        <w:pStyle w:val="Heading2"/>
      </w:pPr>
      <w:r>
        <w:t>Genesis 29:33 — Simeon: hearing</w:t>
      </w:r>
    </w:p>
    <w:p>
      <w:pPr/>
      <w:r>
        <w:rPr>
          <w:i w:val="0"/>
        </w:rPr>
        <w:t>At the second birth Leah says that Yahweh has “heard” that she was less loved. Simeon (Shim‘on) is transparently connected with shama, to hear. Mansfield sees a progression: first Yahweh sees her affliction, then hears her prayer.</w:t>
      </w:r>
    </w:p>
    <w:p>
      <w:pPr>
        <w:pStyle w:val="Heading2"/>
      </w:pPr>
      <w:r>
        <w:t>Genesis 29:34 — Levi: joined</w:t>
      </w:r>
    </w:p>
    <w:p>
      <w:pPr/>
      <w:r>
        <w:rPr>
          <w:i w:val="0"/>
        </w:rPr>
        <w:t>With the third son Leah says, “Now this time will my husband be joined unto me.” Levi is linked in the verse with lavah, to join or attach. Her hope is still directed toward winning Jacob’s attachment through her children.</w:t>
      </w:r>
    </w:p>
    <w:p>
      <w:pPr>
        <w:pStyle w:val="Heading2"/>
      </w:pPr>
      <w:r>
        <w:t>Genesis 29:35 — Judah: praise</w:t>
      </w:r>
    </w:p>
    <w:p>
      <w:pPr/>
      <w:r>
        <w:rPr>
          <w:i w:val="0"/>
        </w:rPr>
        <w:t>At Judah’s birth Leah says, “Now will I praise Yahweh.” Judah (Yehudah) is associated with yadah, to praise or give thanks. Mansfield observes a significant change of emphasis: instead of naming the child primarily around her longing for Jacob’s love, Leah’s words now centre directly on praise of Yahweh. She then ceases bearing for a time.</w:t>
      </w:r>
    </w:p>
    <w:p>
      <w:pPr>
        <w:pStyle w:val="Heading1"/>
      </w:pPr>
      <w:r>
        <w:t>PRINCIPAL THEMES</w:t>
      </w:r>
    </w:p>
    <w:p>
      <w:pPr>
        <w:ind w:left="259" w:hanging="202"/>
      </w:pPr>
      <w:r>
        <w:rPr>
          <w:b/>
        </w:rPr>
        <w:t xml:space="preserve">• </w:t>
      </w:r>
      <w:r>
        <w:t>Providence brings Jacob to the right family at the well of Haran.</w:t>
      </w:r>
    </w:p>
    <w:p>
      <w:pPr>
        <w:ind w:left="259" w:hanging="202"/>
      </w:pPr>
      <w:r>
        <w:rPr>
          <w:b/>
        </w:rPr>
        <w:t xml:space="preserve">• </w:t>
      </w:r>
      <w:r>
        <w:t>Jacob’s love for Rachel turns seven years of labour into willing service.</w:t>
      </w:r>
    </w:p>
    <w:p>
      <w:pPr>
        <w:ind w:left="259" w:hanging="202"/>
      </w:pPr>
      <w:r>
        <w:rPr>
          <w:b/>
        </w:rPr>
        <w:t xml:space="preserve">• </w:t>
      </w:r>
      <w:r>
        <w:t>The deceiver experiences the pain of being deceived.</w:t>
      </w:r>
    </w:p>
    <w:p>
      <w:pPr>
        <w:ind w:left="259" w:hanging="202"/>
      </w:pPr>
      <w:r>
        <w:rPr>
          <w:b/>
        </w:rPr>
        <w:t xml:space="preserve">• </w:t>
      </w:r>
      <w:r>
        <w:t>Laban’s appeal to firstborn custom forms an ironic counterpart to Jacob’s earlier history.</w:t>
      </w:r>
    </w:p>
    <w:p>
      <w:pPr>
        <w:ind w:left="259" w:hanging="202"/>
      </w:pPr>
      <w:r>
        <w:rPr>
          <w:b/>
        </w:rPr>
        <w:t xml:space="preserve">• </w:t>
      </w:r>
      <w:r>
        <w:t>Rachel’s preference and Leah’s rejection create further family strain.</w:t>
      </w:r>
    </w:p>
    <w:p>
      <w:pPr>
        <w:ind w:left="259" w:hanging="202"/>
      </w:pPr>
      <w:r>
        <w:rPr>
          <w:b/>
        </w:rPr>
        <w:t xml:space="preserve">• </w:t>
      </w:r>
      <w:r>
        <w:t>Yahweh sees and hears the less-loved Leah.</w:t>
      </w:r>
    </w:p>
    <w:p>
      <w:pPr>
        <w:ind w:left="259" w:hanging="202"/>
      </w:pPr>
      <w:r>
        <w:rPr>
          <w:b/>
        </w:rPr>
        <w:t xml:space="preserve">• </w:t>
      </w:r>
      <w:r>
        <w:t>Reuben, Simeon, Levi and Judah move from seeing and hearing affliction toward attachment and praise.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7"/>
              </w:rPr>
              <w:t>Location</w:t>
            </w:r>
          </w:p>
        </w:tc>
        <w:tc>
          <w:tcPr>
            <w:tcW w:type="dxa" w:w="3552"/>
          </w:tcPr>
          <w:p>
            <w:r>
              <w:rPr>
                <w:rFonts w:ascii="Arial" w:hAnsi="Arial"/>
                <w:b/>
                <w:sz w:val="17"/>
              </w:rPr>
              <w:t>Checked / corrected reading</w:t>
            </w:r>
          </w:p>
        </w:tc>
        <w:tc>
          <w:tcPr>
            <w:tcW w:type="dxa" w:w="3552"/>
          </w:tcPr>
          <w:p>
            <w:r>
              <w:rPr>
                <w:rFonts w:ascii="Arial" w:hAnsi="Arial"/>
                <w:b/>
                <w:sz w:val="17"/>
              </w:rPr>
              <w:t>Basis</w:t>
            </w:r>
          </w:p>
        </w:tc>
      </w:tr>
      <w:tr>
        <w:tc>
          <w:tcPr>
            <w:tcW w:type="dxa" w:w="3552"/>
            <w:vAlign w:val="top"/>
          </w:tcPr>
          <w:p>
            <w:pPr>
              <w:spacing w:after="0"/>
            </w:pPr>
            <w:r>
              <w:rPr>
                <w:rFonts w:ascii="Times New Roman" w:hAnsi="Times New Roman"/>
                <w:sz w:val="16"/>
              </w:rPr>
              <w:t>Gen. 29:1</w:t>
            </w:r>
          </w:p>
        </w:tc>
        <w:tc>
          <w:tcPr>
            <w:tcW w:type="dxa" w:w="3552"/>
            <w:vAlign w:val="top"/>
          </w:tcPr>
          <w:p>
            <w:pPr>
              <w:spacing w:after="0"/>
            </w:pPr>
            <w:r>
              <w:rPr>
                <w:rFonts w:ascii="Times New Roman" w:hAnsi="Times New Roman"/>
                <w:sz w:val="16"/>
              </w:rPr>
              <w:t>“lifted up his feet”</w:t>
            </w:r>
          </w:p>
        </w:tc>
        <w:tc>
          <w:tcPr>
            <w:tcW w:type="dxa" w:w="3552"/>
            <w:vAlign w:val="top"/>
          </w:tcPr>
          <w:p>
            <w:pPr>
              <w:spacing w:after="0"/>
            </w:pPr>
            <w:r>
              <w:rPr>
                <w:rFonts w:ascii="Times New Roman" w:hAnsi="Times New Roman"/>
                <w:sz w:val="16"/>
              </w:rPr>
              <w:t>Hebrew idiom behind KJV “went on his journey”; supports Mansfield’s renewed-energy note.</w:t>
            </w:r>
          </w:p>
        </w:tc>
      </w:tr>
      <w:tr>
        <w:tc>
          <w:tcPr>
            <w:tcW w:type="dxa" w:w="3552"/>
            <w:vAlign w:val="top"/>
          </w:tcPr>
          <w:p>
            <w:pPr>
              <w:spacing w:after="0"/>
            </w:pPr>
            <w:r>
              <w:rPr>
                <w:rFonts w:ascii="Times New Roman" w:hAnsi="Times New Roman"/>
                <w:sz w:val="16"/>
              </w:rPr>
              <w:t>Gen. 29:5</w:t>
            </w:r>
          </w:p>
        </w:tc>
        <w:tc>
          <w:tcPr>
            <w:tcW w:type="dxa" w:w="3552"/>
            <w:vAlign w:val="top"/>
          </w:tcPr>
          <w:p>
            <w:pPr>
              <w:spacing w:after="0"/>
            </w:pPr>
            <w:r>
              <w:rPr>
                <w:rFonts w:ascii="Times New Roman" w:hAnsi="Times New Roman"/>
                <w:sz w:val="16"/>
              </w:rPr>
              <w:t>Laban = descendant of Nahor</w:t>
            </w:r>
          </w:p>
        </w:tc>
        <w:tc>
          <w:tcPr>
            <w:tcW w:type="dxa" w:w="3552"/>
            <w:vAlign w:val="top"/>
          </w:tcPr>
          <w:p>
            <w:pPr>
              <w:spacing w:after="0"/>
            </w:pPr>
            <w:r>
              <w:rPr>
                <w:rFonts w:ascii="Times New Roman" w:hAnsi="Times New Roman"/>
                <w:sz w:val="16"/>
              </w:rPr>
              <w:t>Avoids treating “son of Nahor” as a literal one-generation genealogy.</w:t>
            </w:r>
          </w:p>
        </w:tc>
      </w:tr>
      <w:tr>
        <w:tc>
          <w:tcPr>
            <w:tcW w:type="dxa" w:w="3552"/>
            <w:vAlign w:val="top"/>
          </w:tcPr>
          <w:p>
            <w:pPr>
              <w:spacing w:after="0"/>
            </w:pPr>
            <w:r>
              <w:rPr>
                <w:rFonts w:ascii="Times New Roman" w:hAnsi="Times New Roman"/>
                <w:sz w:val="16"/>
              </w:rPr>
              <w:t>Gen. 29:6</w:t>
            </w:r>
          </w:p>
        </w:tc>
        <w:tc>
          <w:tcPr>
            <w:tcW w:type="dxa" w:w="3552"/>
            <w:vAlign w:val="top"/>
          </w:tcPr>
          <w:p>
            <w:pPr>
              <w:spacing w:after="0"/>
            </w:pPr>
            <w:r>
              <w:rPr>
                <w:rFonts w:ascii="Times New Roman" w:hAnsi="Times New Roman"/>
                <w:sz w:val="16"/>
              </w:rPr>
              <w:t>shalom</w:t>
            </w:r>
          </w:p>
        </w:tc>
        <w:tc>
          <w:tcPr>
            <w:tcW w:type="dxa" w:w="3552"/>
            <w:vAlign w:val="top"/>
          </w:tcPr>
          <w:p>
            <w:pPr>
              <w:spacing w:after="0"/>
            </w:pPr>
            <w:r>
              <w:rPr>
                <w:rFonts w:ascii="Times New Roman" w:hAnsi="Times New Roman"/>
                <w:sz w:val="16"/>
              </w:rPr>
              <w:t>“Is he well?” asks broadly about peace/welfare.</w:t>
            </w:r>
          </w:p>
        </w:tc>
      </w:tr>
      <w:tr>
        <w:tc>
          <w:tcPr>
            <w:tcW w:type="dxa" w:w="3552"/>
            <w:vAlign w:val="top"/>
          </w:tcPr>
          <w:p>
            <w:pPr>
              <w:spacing w:after="0"/>
            </w:pPr>
            <w:r>
              <w:rPr>
                <w:rFonts w:ascii="Times New Roman" w:hAnsi="Times New Roman"/>
                <w:sz w:val="16"/>
              </w:rPr>
              <w:t>Gen. 29:9</w:t>
            </w:r>
          </w:p>
        </w:tc>
        <w:tc>
          <w:tcPr>
            <w:tcW w:type="dxa" w:w="3552"/>
            <w:vAlign w:val="top"/>
          </w:tcPr>
          <w:p>
            <w:pPr>
              <w:spacing w:after="0"/>
            </w:pPr>
            <w:r>
              <w:rPr>
                <w:rFonts w:ascii="Times New Roman" w:hAnsi="Times New Roman"/>
                <w:sz w:val="16"/>
              </w:rPr>
              <w:t>shepherdess</w:t>
            </w:r>
          </w:p>
        </w:tc>
        <w:tc>
          <w:tcPr>
            <w:tcW w:type="dxa" w:w="3552"/>
            <w:vAlign w:val="top"/>
          </w:tcPr>
          <w:p>
            <w:pPr>
              <w:spacing w:after="0"/>
            </w:pPr>
            <w:r>
              <w:rPr>
                <w:rFonts w:ascii="Times New Roman" w:hAnsi="Times New Roman"/>
                <w:sz w:val="16"/>
              </w:rPr>
              <w:t>Rachel’s occupation recovered directly from the Hebrew/narrative.</w:t>
            </w:r>
          </w:p>
        </w:tc>
      </w:tr>
      <w:tr>
        <w:tc>
          <w:tcPr>
            <w:tcW w:type="dxa" w:w="3552"/>
            <w:vAlign w:val="top"/>
          </w:tcPr>
          <w:p>
            <w:pPr>
              <w:spacing w:after="0"/>
            </w:pPr>
            <w:r>
              <w:rPr>
                <w:rFonts w:ascii="Times New Roman" w:hAnsi="Times New Roman"/>
                <w:sz w:val="16"/>
              </w:rPr>
              <w:t>Gen. 29:16–17</w:t>
            </w:r>
          </w:p>
        </w:tc>
        <w:tc>
          <w:tcPr>
            <w:tcW w:type="dxa" w:w="3552"/>
            <w:vAlign w:val="top"/>
          </w:tcPr>
          <w:p>
            <w:pPr>
              <w:spacing w:after="0"/>
            </w:pPr>
            <w:r>
              <w:rPr>
                <w:rFonts w:ascii="Times New Roman" w:hAnsi="Times New Roman"/>
                <w:sz w:val="16"/>
              </w:rPr>
              <w:t>rakh / rakkoth</w:t>
            </w:r>
          </w:p>
        </w:tc>
        <w:tc>
          <w:tcPr>
            <w:tcW w:type="dxa" w:w="3552"/>
            <w:vAlign w:val="top"/>
          </w:tcPr>
          <w:p>
            <w:pPr>
              <w:spacing w:after="0"/>
            </w:pPr>
            <w:r>
              <w:rPr>
                <w:rFonts w:ascii="Times New Roman" w:hAnsi="Times New Roman"/>
                <w:sz w:val="16"/>
              </w:rPr>
              <w:t>“Tender/soft/delicate/weak”; Mansfield’s “dull-eyed” sense kept qualified.</w:t>
            </w:r>
          </w:p>
        </w:tc>
      </w:tr>
      <w:tr>
        <w:tc>
          <w:tcPr>
            <w:tcW w:type="dxa" w:w="3552"/>
            <w:vAlign w:val="top"/>
          </w:tcPr>
          <w:p>
            <w:pPr>
              <w:spacing w:after="0"/>
            </w:pPr>
            <w:r>
              <w:rPr>
                <w:rFonts w:ascii="Times New Roman" w:hAnsi="Times New Roman"/>
                <w:sz w:val="16"/>
              </w:rPr>
              <w:t>Gen. 29:17</w:t>
            </w:r>
          </w:p>
        </w:tc>
        <w:tc>
          <w:tcPr>
            <w:tcW w:type="dxa" w:w="3552"/>
            <w:vAlign w:val="top"/>
          </w:tcPr>
          <w:p>
            <w:pPr>
              <w:spacing w:after="0"/>
            </w:pPr>
            <w:r>
              <w:rPr>
                <w:rFonts w:ascii="Times New Roman" w:hAnsi="Times New Roman"/>
                <w:sz w:val="16"/>
              </w:rPr>
              <w:t>form and appearance</w:t>
            </w:r>
          </w:p>
        </w:tc>
        <w:tc>
          <w:tcPr>
            <w:tcW w:type="dxa" w:w="3552"/>
            <w:vAlign w:val="top"/>
          </w:tcPr>
          <w:p>
            <w:pPr>
              <w:spacing w:after="0"/>
            </w:pPr>
            <w:r>
              <w:rPr>
                <w:rFonts w:ascii="Times New Roman" w:hAnsi="Times New Roman"/>
                <w:sz w:val="16"/>
              </w:rPr>
              <w:t>Rachel is literally beautiful in form and appearance.</w:t>
            </w:r>
          </w:p>
        </w:tc>
      </w:tr>
      <w:tr>
        <w:tc>
          <w:tcPr>
            <w:tcW w:type="dxa" w:w="3552"/>
            <w:vAlign w:val="top"/>
          </w:tcPr>
          <w:p>
            <w:pPr>
              <w:spacing w:after="0"/>
            </w:pPr>
            <w:r>
              <w:rPr>
                <w:rFonts w:ascii="Times New Roman" w:hAnsi="Times New Roman"/>
                <w:sz w:val="16"/>
              </w:rPr>
              <w:t>Gen. 29:20</w:t>
            </w:r>
          </w:p>
        </w:tc>
        <w:tc>
          <w:tcPr>
            <w:tcW w:type="dxa" w:w="3552"/>
            <w:vAlign w:val="top"/>
          </w:tcPr>
          <w:p>
            <w:pPr>
              <w:spacing w:after="0"/>
            </w:pPr>
            <w:r>
              <w:rPr>
                <w:rFonts w:ascii="Times New Roman" w:hAnsi="Times New Roman"/>
                <w:sz w:val="16"/>
              </w:rPr>
              <w:t>Hos. 12:12</w:t>
            </w:r>
          </w:p>
        </w:tc>
        <w:tc>
          <w:tcPr>
            <w:tcW w:type="dxa" w:w="3552"/>
            <w:vAlign w:val="top"/>
          </w:tcPr>
          <w:p>
            <w:pPr>
              <w:spacing w:after="0"/>
            </w:pPr>
            <w:r>
              <w:rPr>
                <w:rFonts w:ascii="Times New Roman" w:hAnsi="Times New Roman"/>
                <w:sz w:val="16"/>
              </w:rPr>
              <w:t>Checks the seven-year service for a wife and shepherding context.</w:t>
            </w:r>
          </w:p>
        </w:tc>
      </w:tr>
      <w:tr>
        <w:tc>
          <w:tcPr>
            <w:tcW w:type="dxa" w:w="3552"/>
            <w:vAlign w:val="top"/>
          </w:tcPr>
          <w:p>
            <w:pPr>
              <w:spacing w:after="0"/>
            </w:pPr>
            <w:r>
              <w:rPr>
                <w:rFonts w:ascii="Times New Roman" w:hAnsi="Times New Roman"/>
                <w:sz w:val="16"/>
              </w:rPr>
              <w:t>Gen. 29:25</w:t>
            </w:r>
          </w:p>
        </w:tc>
        <w:tc>
          <w:tcPr>
            <w:tcW w:type="dxa" w:w="3552"/>
            <w:vAlign w:val="top"/>
          </w:tcPr>
          <w:p>
            <w:pPr>
              <w:spacing w:after="0"/>
            </w:pPr>
            <w:r>
              <w:rPr>
                <w:rFonts w:ascii="Times New Roman" w:hAnsi="Times New Roman"/>
                <w:sz w:val="16"/>
              </w:rPr>
              <w:t>“behold, it was Leah”</w:t>
            </w:r>
          </w:p>
        </w:tc>
        <w:tc>
          <w:tcPr>
            <w:tcW w:type="dxa" w:w="3552"/>
            <w:vAlign w:val="top"/>
          </w:tcPr>
          <w:p>
            <w:pPr>
              <w:spacing w:after="0"/>
            </w:pPr>
            <w:r>
              <w:rPr>
                <w:rFonts w:ascii="Times New Roman" w:hAnsi="Times New Roman"/>
                <w:sz w:val="16"/>
              </w:rPr>
              <w:t>Narrative surprise retained; deception theme not softened.</w:t>
            </w:r>
          </w:p>
        </w:tc>
      </w:tr>
      <w:tr>
        <w:tc>
          <w:tcPr>
            <w:tcW w:type="dxa" w:w="3552"/>
            <w:vAlign w:val="top"/>
          </w:tcPr>
          <w:p>
            <w:pPr>
              <w:spacing w:after="0"/>
            </w:pPr>
            <w:r>
              <w:rPr>
                <w:rFonts w:ascii="Times New Roman" w:hAnsi="Times New Roman"/>
                <w:sz w:val="16"/>
              </w:rPr>
              <w:t>Gen. 29:26</w:t>
            </w:r>
          </w:p>
        </w:tc>
        <w:tc>
          <w:tcPr>
            <w:tcW w:type="dxa" w:w="3552"/>
            <w:vAlign w:val="top"/>
          </w:tcPr>
          <w:p>
            <w:pPr>
              <w:spacing w:after="0"/>
            </w:pPr>
            <w:r>
              <w:rPr>
                <w:rFonts w:ascii="Times New Roman" w:hAnsi="Times New Roman"/>
                <w:sz w:val="16"/>
              </w:rPr>
              <w:t>firstborn</w:t>
            </w:r>
          </w:p>
        </w:tc>
        <w:tc>
          <w:tcPr>
            <w:tcW w:type="dxa" w:w="3552"/>
            <w:vAlign w:val="top"/>
          </w:tcPr>
          <w:p>
            <w:pPr>
              <w:spacing w:after="0"/>
            </w:pPr>
            <w:r>
              <w:rPr>
                <w:rFonts w:ascii="Times New Roman" w:hAnsi="Times New Roman"/>
                <w:sz w:val="16"/>
              </w:rPr>
              <w:t>Corrects the key irony: Laban specifically invokes priority of the firstborn.</w:t>
            </w:r>
          </w:p>
        </w:tc>
      </w:tr>
      <w:tr>
        <w:tc>
          <w:tcPr>
            <w:tcW w:type="dxa" w:w="3552"/>
            <w:vAlign w:val="top"/>
          </w:tcPr>
          <w:p>
            <w:pPr>
              <w:spacing w:after="0"/>
            </w:pPr>
            <w:r>
              <w:rPr>
                <w:rFonts w:ascii="Times New Roman" w:hAnsi="Times New Roman"/>
                <w:sz w:val="16"/>
              </w:rPr>
              <w:t>Gen. 29:27–30</w:t>
            </w:r>
          </w:p>
        </w:tc>
        <w:tc>
          <w:tcPr>
            <w:tcW w:type="dxa" w:w="3552"/>
            <w:vAlign w:val="top"/>
          </w:tcPr>
          <w:p>
            <w:pPr>
              <w:spacing w:after="0"/>
            </w:pPr>
            <w:r>
              <w:rPr>
                <w:rFonts w:ascii="Times New Roman" w:hAnsi="Times New Roman"/>
                <w:sz w:val="16"/>
              </w:rPr>
              <w:t>wedding week + 7 years</w:t>
            </w:r>
          </w:p>
        </w:tc>
        <w:tc>
          <w:tcPr>
            <w:tcW w:type="dxa" w:w="3552"/>
            <w:vAlign w:val="top"/>
          </w:tcPr>
          <w:p>
            <w:pPr>
              <w:spacing w:after="0"/>
            </w:pPr>
            <w:r>
              <w:rPr>
                <w:rFonts w:ascii="Times New Roman" w:hAnsi="Times New Roman"/>
                <w:sz w:val="16"/>
              </w:rPr>
              <w:t>Rachel is received after Leah’s week; the second seven years are served afterward.</w:t>
            </w:r>
          </w:p>
        </w:tc>
      </w:tr>
      <w:tr>
        <w:tc>
          <w:tcPr>
            <w:tcW w:type="dxa" w:w="3552"/>
            <w:vAlign w:val="top"/>
          </w:tcPr>
          <w:p>
            <w:pPr>
              <w:spacing w:after="0"/>
            </w:pPr>
            <w:r>
              <w:rPr>
                <w:rFonts w:ascii="Times New Roman" w:hAnsi="Times New Roman"/>
                <w:sz w:val="16"/>
              </w:rPr>
              <w:t>Gen. 29:31</w:t>
            </w:r>
          </w:p>
        </w:tc>
        <w:tc>
          <w:tcPr>
            <w:tcW w:type="dxa" w:w="3552"/>
            <w:vAlign w:val="top"/>
          </w:tcPr>
          <w:p>
            <w:pPr>
              <w:spacing w:after="0"/>
            </w:pPr>
            <w:r>
              <w:rPr>
                <w:rFonts w:ascii="Times New Roman" w:hAnsi="Times New Roman"/>
                <w:sz w:val="16"/>
              </w:rPr>
              <w:t>Gen. 29:30; Deut. 21:15</w:t>
            </w:r>
          </w:p>
        </w:tc>
        <w:tc>
          <w:tcPr>
            <w:tcW w:type="dxa" w:w="3552"/>
            <w:vAlign w:val="top"/>
          </w:tcPr>
          <w:p>
            <w:pPr>
              <w:spacing w:after="0"/>
            </w:pPr>
            <w:r>
              <w:rPr>
                <w:rFonts w:ascii="Times New Roman" w:hAnsi="Times New Roman"/>
                <w:sz w:val="16"/>
              </w:rPr>
              <w:t>“Hated” = less loved/not preferred in this comparative context.</w:t>
            </w:r>
          </w:p>
        </w:tc>
      </w:tr>
      <w:tr>
        <w:tc>
          <w:tcPr>
            <w:tcW w:type="dxa" w:w="3552"/>
            <w:vAlign w:val="top"/>
          </w:tcPr>
          <w:p>
            <w:pPr>
              <w:spacing w:after="0"/>
            </w:pPr>
            <w:r>
              <w:rPr>
                <w:rFonts w:ascii="Times New Roman" w:hAnsi="Times New Roman"/>
                <w:sz w:val="16"/>
              </w:rPr>
              <w:t>Gen. 29:32</w:t>
            </w:r>
          </w:p>
        </w:tc>
        <w:tc>
          <w:tcPr>
            <w:tcW w:type="dxa" w:w="3552"/>
            <w:vAlign w:val="top"/>
          </w:tcPr>
          <w:p>
            <w:pPr>
              <w:spacing w:after="0"/>
            </w:pPr>
            <w:r>
              <w:rPr>
                <w:rFonts w:ascii="Times New Roman" w:hAnsi="Times New Roman"/>
                <w:sz w:val="16"/>
              </w:rPr>
              <w:t>Reuben / seeing</w:t>
            </w:r>
          </w:p>
        </w:tc>
        <w:tc>
          <w:tcPr>
            <w:tcW w:type="dxa" w:w="3552"/>
            <w:vAlign w:val="top"/>
          </w:tcPr>
          <w:p>
            <w:pPr>
              <w:spacing w:after="0"/>
            </w:pPr>
            <w:r>
              <w:rPr>
                <w:rFonts w:ascii="Times New Roman" w:hAnsi="Times New Roman"/>
                <w:sz w:val="16"/>
              </w:rPr>
              <w:t>Name explanation checked against Leah’s “Yahweh hath looked” statement.</w:t>
            </w:r>
          </w:p>
        </w:tc>
      </w:tr>
      <w:tr>
        <w:tc>
          <w:tcPr>
            <w:tcW w:type="dxa" w:w="3552"/>
            <w:vAlign w:val="top"/>
          </w:tcPr>
          <w:p>
            <w:pPr>
              <w:spacing w:after="0"/>
            </w:pPr>
            <w:r>
              <w:rPr>
                <w:rFonts w:ascii="Times New Roman" w:hAnsi="Times New Roman"/>
                <w:sz w:val="16"/>
              </w:rPr>
              <w:t>Gen. 29:33</w:t>
            </w:r>
          </w:p>
        </w:tc>
        <w:tc>
          <w:tcPr>
            <w:tcW w:type="dxa" w:w="3552"/>
            <w:vAlign w:val="top"/>
          </w:tcPr>
          <w:p>
            <w:pPr>
              <w:spacing w:after="0"/>
            </w:pPr>
            <w:r>
              <w:rPr>
                <w:rFonts w:ascii="Times New Roman" w:hAnsi="Times New Roman"/>
                <w:sz w:val="16"/>
              </w:rPr>
              <w:t>Simeon / shama</w:t>
            </w:r>
          </w:p>
        </w:tc>
        <w:tc>
          <w:tcPr>
            <w:tcW w:type="dxa" w:w="3552"/>
            <w:vAlign w:val="top"/>
          </w:tcPr>
          <w:p>
            <w:pPr>
              <w:spacing w:after="0"/>
            </w:pPr>
            <w:r>
              <w:rPr>
                <w:rFonts w:ascii="Times New Roman" w:hAnsi="Times New Roman"/>
                <w:sz w:val="16"/>
              </w:rPr>
              <w:t>Hearing wordplay confirmed.</w:t>
            </w:r>
          </w:p>
        </w:tc>
      </w:tr>
      <w:tr>
        <w:tc>
          <w:tcPr>
            <w:tcW w:type="dxa" w:w="3552"/>
            <w:vAlign w:val="top"/>
          </w:tcPr>
          <w:p>
            <w:pPr>
              <w:spacing w:after="0"/>
            </w:pPr>
            <w:r>
              <w:rPr>
                <w:rFonts w:ascii="Times New Roman" w:hAnsi="Times New Roman"/>
                <w:sz w:val="16"/>
              </w:rPr>
              <w:t>Gen. 29:34</w:t>
            </w:r>
          </w:p>
        </w:tc>
        <w:tc>
          <w:tcPr>
            <w:tcW w:type="dxa" w:w="3552"/>
            <w:vAlign w:val="top"/>
          </w:tcPr>
          <w:p>
            <w:pPr>
              <w:spacing w:after="0"/>
            </w:pPr>
            <w:r>
              <w:rPr>
                <w:rFonts w:ascii="Times New Roman" w:hAnsi="Times New Roman"/>
                <w:sz w:val="16"/>
              </w:rPr>
              <w:t>Levi / lavah</w:t>
            </w:r>
          </w:p>
        </w:tc>
        <w:tc>
          <w:tcPr>
            <w:tcW w:type="dxa" w:w="3552"/>
            <w:vAlign w:val="top"/>
          </w:tcPr>
          <w:p>
            <w:pPr>
              <w:spacing w:after="0"/>
            </w:pPr>
            <w:r>
              <w:rPr>
                <w:rFonts w:ascii="Times New Roman" w:hAnsi="Times New Roman"/>
                <w:sz w:val="16"/>
              </w:rPr>
              <w:t>Joining/attachment wordplay confirmed.</w:t>
            </w:r>
          </w:p>
        </w:tc>
      </w:tr>
      <w:tr>
        <w:tc>
          <w:tcPr>
            <w:tcW w:type="dxa" w:w="3552"/>
            <w:vAlign w:val="top"/>
          </w:tcPr>
          <w:p>
            <w:pPr>
              <w:spacing w:after="0"/>
            </w:pPr>
            <w:r>
              <w:rPr>
                <w:rFonts w:ascii="Times New Roman" w:hAnsi="Times New Roman"/>
                <w:sz w:val="16"/>
              </w:rPr>
              <w:t>Gen. 29:35</w:t>
            </w:r>
          </w:p>
        </w:tc>
        <w:tc>
          <w:tcPr>
            <w:tcW w:type="dxa" w:w="3552"/>
            <w:vAlign w:val="top"/>
          </w:tcPr>
          <w:p>
            <w:pPr>
              <w:spacing w:after="0"/>
            </w:pPr>
            <w:r>
              <w:rPr>
                <w:rFonts w:ascii="Times New Roman" w:hAnsi="Times New Roman"/>
                <w:sz w:val="16"/>
              </w:rPr>
              <w:t>Judah / yadah</w:t>
            </w:r>
          </w:p>
        </w:tc>
        <w:tc>
          <w:tcPr>
            <w:tcW w:type="dxa" w:w="3552"/>
            <w:vAlign w:val="top"/>
          </w:tcPr>
          <w:p>
            <w:pPr>
              <w:spacing w:after="0"/>
            </w:pPr>
            <w:r>
              <w:rPr>
                <w:rFonts w:ascii="Times New Roman" w:hAnsi="Times New Roman"/>
                <w:sz w:val="16"/>
              </w:rPr>
              <w:t>Praise/thanksgiving wordplay confirmed.</w:t>
            </w:r>
          </w:p>
        </w:tc>
      </w:tr>
    </w:tbl>
    <w:p>
      <w:pPr>
        <w:pStyle w:val="Heading1"/>
      </w:pPr>
      <w:r>
        <w:t>RESIDUAL UNCERTAINTIES</w:t>
      </w:r>
    </w:p>
    <w:p>
      <w:pPr/>
      <w:r>
        <w:rPr>
          <w:i w:val="0"/>
        </w:rPr>
        <w:t>Leah’s exact name etymology is disputed and Mansfield’s older suggestions (wearied/dull/faint) are not secure enough to state as fact. Likewise, rakkoth in verse 17 does not establish that Leah had defective eyesight. Mansfield’s reconstructed age of Jacob on arrival in Haran depends on a wider chronology rather than an explicit verse. Extended Leah/Rachel identifications with Law and Grace remain typological exposition and have not been turned into lexical claims.</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80" w:after="30"/>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pageBreakBefore w:val="0"/>
      <w:spacing w:before="50" w:after="20"/>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