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30</w:t>
      </w:r>
    </w:p>
    <w:p>
      <w:pPr>
        <w:pStyle w:val="Subtitle"/>
      </w:pPr>
      <w:r>
        <w:t>RIVALRY IN THE HOUSEHOLD • GOD OPENS THE WOMB • JOSEPH IS BORN • JACOB’S WAGES AND FLOCKS</w:t>
      </w:r>
    </w:p>
    <w:p>
      <w:pPr/>
      <w:r>
        <w:rPr>
          <w:i/>
        </w:rPr>
        <w:t>H. P. Mansfield Bible notes — checked and arranged in verse-by-verse Expositor style</w:t>
      </w:r>
    </w:p>
    <w:p>
      <w:pPr/>
      <w:r>
        <w:rPr>
          <w:i w:val="0"/>
        </w:rPr>
        <w:t>Source: HPB 01-Gen01-Gen41.PDF, principally Genesis 30 photographed pages 81–83</w:t>
      </w:r>
    </w:p>
    <w:p>
      <w:pPr>
        <w:pStyle w:val="Heading1"/>
      </w:pPr>
      <w:r>
        <w:t>CHAPTER OVERVIEW</w:t>
      </w:r>
    </w:p>
    <w:p>
      <w:pPr/>
      <w:r>
        <w:rPr>
          <w:i w:val="0"/>
        </w:rPr>
        <w:t>The first part of Genesis 30 records an increasingly painful competition between Rachel and Leah. Maids, bargains and mandrakes are all brought into the struggle for children, but the inspired narrative repeatedly returns to the controlling truth: God hears, remembers and opens the womb. Joseph’s birth then becomes the turning point at which Jacob seeks to return to the land of promise.</w:t>
      </w:r>
    </w:p>
    <w:p>
      <w:pPr/>
      <w:r>
        <w:rPr>
          <w:i w:val="0"/>
        </w:rPr>
        <w:t>The second half records the contest between Jacob and Laban over wages. Laban tries to structure the agreement to his own advantage, yet Jacob prospers. Genesis 31:9–12 later supplies the interpretive key: God, not sympathetic magic in peeled rods, transferred the increase of Laban’s flock to Jacob.</w:t>
      </w:r>
    </w:p>
    <w:p>
      <w:pPr>
        <w:pStyle w:val="Heading1"/>
      </w:pPr>
      <w:r>
        <w:t>RACHEL, BILHAH AND THE BIRTH OF DAN AND NAPHTALI — GENESIS 30:1–8</w:t>
      </w:r>
    </w:p>
    <w:p>
      <w:pPr>
        <w:pStyle w:val="Heading2"/>
      </w:pPr>
      <w:r>
        <w:t>Genesis 30:1–2 — “Am I in God’s stead?”</w:t>
      </w:r>
    </w:p>
    <w:p>
      <w:pPr/>
      <w:r>
        <w:rPr>
          <w:i w:val="0"/>
        </w:rPr>
        <w:t>Rachel envies Leah and cries, “Give me children, or else I die.” Jacob’s anger answers the misplaced accusation: “Am I in God’s stead, who hath withheld from thee the fruit of the womb?” The theological point is explicit. Jacob cannot command fertility, and the chapter will repeatedly show that human devices cannot substitute for Divine action.</w:t>
      </w:r>
    </w:p>
    <w:p>
      <w:pPr>
        <w:pStyle w:val="Heading2"/>
      </w:pPr>
      <w:r>
        <w:t>Genesis 30:3–6 — Bilhah and Dan</w:t>
      </w:r>
    </w:p>
    <w:p>
      <w:pPr/>
      <w:r>
        <w:rPr>
          <w:i w:val="0"/>
        </w:rPr>
        <w:t>Rachel gives Bilhah to Jacob so that children may be reckoned to her household. “She shall bear upon my knees” reflects an ancient idiom or ceremony of acknowledged parenthood/adoption (compare Genesis 48:10–12; 50:23). When Bilhah bears a son, Rachel says God has “judged” or vindicated her and has heard her voice. Dan is directly related to din, to judge.</w:t>
      </w:r>
    </w:p>
    <w:p>
      <w:pPr>
        <w:pStyle w:val="Heading2"/>
      </w:pPr>
      <w:r>
        <w:t>Genesis 30:7–8 — Naphtali and “wrestlings of God”</w:t>
      </w:r>
    </w:p>
    <w:p>
      <w:pPr/>
      <w:r>
        <w:rPr>
          <w:i w:val="0"/>
        </w:rPr>
        <w:t>At Bilhah’s second son Rachel says, literally, “with wrestlings of God have I wrestled with my sister.” The KJV’s “great wrestlings” represents a Hebrew construction using Elohim for intensity. Naphtali is linked with the root for wrestling or struggle. Mansfield uses the wording to stress that Rachel increasingly recognises her need of God even while rivalry remains.</w:t>
      </w:r>
    </w:p>
    <w:p>
      <w:pPr>
        <w:pStyle w:val="Heading1"/>
      </w:pPr>
      <w:r>
        <w:t>LEAH, ZILPAH, GAD AND ASHER — GENESIS 30:9–13</w:t>
      </w:r>
    </w:p>
    <w:p>
      <w:pPr>
        <w:pStyle w:val="Heading2"/>
      </w:pPr>
      <w:r>
        <w:t>Genesis 30:9–11 — Gad</w:t>
      </w:r>
    </w:p>
    <w:p>
      <w:pPr/>
      <w:r>
        <w:rPr>
          <w:i w:val="0"/>
        </w:rPr>
        <w:t>Leah, after ceasing to bear, imitates Rachel by giving Zilpah to Jacob. At Gad’s birth the KJV reads “A troop cometh,” but the Hebrew expression and the name Gad are commonly connected with fortune or good fortune; Isaiah 65:11 uses Gad as the name of a fortune deity. Mansfield notes that Jacob later creates a different wordplay in Genesis 49:19 with gedud, a raiding troop, and related verbs. The two passages should therefore not be flattened into one identical etymology.</w:t>
      </w:r>
    </w:p>
    <w:p>
      <w:pPr>
        <w:pStyle w:val="Heading2"/>
      </w:pPr>
      <w:r>
        <w:t>Genesis 30:12–13 — Asher</w:t>
      </w:r>
    </w:p>
    <w:p>
      <w:pPr/>
      <w:r>
        <w:rPr>
          <w:i w:val="0"/>
        </w:rPr>
        <w:t>Leah exclaims, “Happy am I, for the daughters will call me blessed.” Asher is associated with happiness/blessedness. The naming still reflects the competitive family atmosphere: personal happiness is being measured partly against Rachel’s barrenness.</w:t>
      </w:r>
    </w:p>
    <w:p>
      <w:pPr>
        <w:pStyle w:val="Heading1"/>
      </w:pPr>
      <w:r>
        <w:t>THE MANDRAKES AND LEAH’S LATER CHILDREN — GENESIS 30:14–21</w:t>
      </w:r>
    </w:p>
    <w:p>
      <w:pPr>
        <w:pStyle w:val="Heading2"/>
      </w:pPr>
      <w:r>
        <w:t>Genesis 30:14–16 — mandrakes and a bargain</w:t>
      </w:r>
    </w:p>
    <w:p>
      <w:pPr/>
      <w:r>
        <w:rPr>
          <w:i w:val="0"/>
        </w:rPr>
        <w:t>During wheat harvest Reuben finds dudaim, traditionally identified as mandrakes or “love-apples.” In the ancient world they were associated with love and fertility, which explains Rachel’s eagerness to obtain them. Rachel bargains away Jacob’s company for the night in exchange for the plants. The narrative offers no support for the fertility superstition: the next verse says not that mandrakes worked, but that God hearkened unto Leah.</w:t>
      </w:r>
    </w:p>
    <w:p>
      <w:pPr>
        <w:pStyle w:val="Heading2"/>
      </w:pPr>
      <w:r>
        <w:t>Genesis 30:17–18 — Issachar: reward/hire</w:t>
      </w:r>
    </w:p>
    <w:p>
      <w:pPr/>
      <w:r>
        <w:rPr>
          <w:i w:val="0"/>
        </w:rPr>
        <w:t>God hears Leah and she bears a fifth son. Leah connects the birth with “hire” or wages; Hebrew sakar is the key word and is reflected in Issachar’s name. The precise morphology of the name is debated, but Mansfield’s sense “there is a reward” accurately reflects the narrative wordplay.</w:t>
      </w:r>
    </w:p>
    <w:p>
      <w:pPr>
        <w:pStyle w:val="Heading2"/>
      </w:pPr>
      <w:r>
        <w:t>Genesis 30:19–21 — Zebulun and Dinah</w:t>
      </w:r>
    </w:p>
    <w:p>
      <w:pPr/>
      <w:r>
        <w:rPr>
          <w:i w:val="0"/>
        </w:rPr>
        <w:t>With her sixth son Leah says God has endowed her with a good gift and hopes her husband will now dwell with her. Zebulun is linked in the verse with dwelling/honour terminology; Mansfield follows the traditional connection with zabal, dwell or cohabit. Dinah, the daughter named next, is the feminine form associated with Dan/din, judgment.</w:t>
      </w:r>
    </w:p>
    <w:p>
      <w:pPr>
        <w:pStyle w:val="Heading1"/>
      </w:pPr>
      <w:r>
        <w:t>RACHEL BEARS JOSEPH — GENESIS 30:22–24</w:t>
      </w:r>
    </w:p>
    <w:p>
      <w:pPr>
        <w:pStyle w:val="Heading2"/>
      </w:pPr>
      <w:r>
        <w:t>Genesis 30:22–23 — God remembers, hears and opens</w:t>
      </w:r>
    </w:p>
    <w:p>
      <w:pPr/>
      <w:r>
        <w:rPr>
          <w:i w:val="0"/>
        </w:rPr>
        <w:t>The narrative deliberately piles up Divine verbs: “God remembered Rachel, and God hearkened to her, and opened her womb.” The mandrakes have failed as a fertility device; prayer and Divine timing control the result. Rachel says God has taken away her reproach.</w:t>
      </w:r>
    </w:p>
    <w:p>
      <w:pPr>
        <w:pStyle w:val="Heading2"/>
      </w:pPr>
      <w:r>
        <w:t>Genesis 30:24 — Joseph: removal and addition</w:t>
      </w:r>
    </w:p>
    <w:p>
      <w:pPr/>
      <w:r>
        <w:rPr>
          <w:i w:val="0"/>
        </w:rPr>
        <w:t>Joseph’s naming carries two closely related wordplays. Verse 23 uses asaph, “to take away,” for Rachel’s reproach; verse 24 looks forward with yasaph, “to add”: “Yahweh shall add to me another son.” Thus Joseph’s name expresses both relief from past reproach and hope of future increase. Benjamin’s later birth fulfils the forward-looking prayer.</w:t>
      </w:r>
    </w:p>
    <w:p>
      <w:pPr>
        <w:pStyle w:val="Heading1"/>
      </w:pPr>
      <w:r>
        <w:t>JACOB SEEKS TO LEAVE — GENESIS 30:25–36</w:t>
      </w:r>
    </w:p>
    <w:p>
      <w:pPr>
        <w:pStyle w:val="Heading2"/>
      </w:pPr>
      <w:r>
        <w:t>Genesis 30:25–27 — Laban recognises blessing</w:t>
      </w:r>
    </w:p>
    <w:p>
      <w:pPr/>
      <w:r>
        <w:rPr>
          <w:i w:val="0"/>
        </w:rPr>
        <w:t>After Joseph’s birth Jacob asks to return to his own country. Laban urges him to stay because, in KJV wording, he has “learned by experience” that Yahweh has blessed him for Jacob’s sake. The Hebrew verb is from nachash and can mean to practise divination or ascertain by omens. It may therefore reveal Laban’s own divinatory outlook rather than sober spiritual discernment. What he has nevertheless recognised is true: Genesis 12:3 is operating in Jacob’s presence.</w:t>
      </w:r>
    </w:p>
    <w:p>
      <w:pPr>
        <w:pStyle w:val="Heading2"/>
      </w:pPr>
      <w:r>
        <w:t>Genesis 30:28–34 — Jacob names his wages</w:t>
      </w:r>
    </w:p>
    <w:p>
      <w:pPr/>
      <w:r>
        <w:rPr>
          <w:i w:val="0"/>
        </w:rPr>
        <w:t>Jacob reviews how Laban’s property has multiplied “since my coming” — literally, at Jacob’s foot. He proposes a readily audited wage: the marked animals will belong to him. His “righteousness” can then answer for him in future; any animal outside the agreed colour pattern found in his possession would expose theft.</w:t>
      </w:r>
    </w:p>
    <w:p>
      <w:pPr>
        <w:pStyle w:val="Heading2"/>
      </w:pPr>
      <w:r>
        <w:t>Genesis 30:35–36 — Laban removes the obvious breeding stock</w:t>
      </w:r>
    </w:p>
    <w:p>
      <w:pPr/>
      <w:r>
        <w:rPr>
          <w:i w:val="0"/>
        </w:rPr>
        <w:t>Laban immediately removes the marked animals and places them three days’ journey away under his sons, leaving Jacob with the unmarked flock. The action reduces Jacob’s apparent natural prospects and makes the subsequent increase all the more clearly connected with the Divine intervention explained in Genesis 31.</w:t>
      </w:r>
    </w:p>
    <w:p>
      <w:pPr>
        <w:pStyle w:val="Heading1"/>
      </w:pPr>
      <w:r>
        <w:t>THE PEELED RODS AND JACOB’S PROSPERITY — GENESIS 30:37–43</w:t>
      </w:r>
    </w:p>
    <w:p>
      <w:pPr>
        <w:pStyle w:val="Heading2"/>
      </w:pPr>
      <w:r>
        <w:t>Genesis 30:37–39 — rods at the watering troughs</w:t>
      </w:r>
    </w:p>
    <w:p>
      <w:pPr/>
      <w:r>
        <w:rPr>
          <w:i w:val="0"/>
        </w:rPr>
        <w:t>Jacob peels rods and places them before the flocks at the watering places. Several KJV tree identifications are old and should not be treated as certain botany: libneh may be poplar or storax; luz, rendered “hazel,” is often understood as almond; armon, KJV “chestnut,” is generally identified with the plane tree. Mansfield’s typological use of the names is therefore preserved as exposition rather than a botanical correction.</w:t>
      </w:r>
    </w:p>
    <w:p>
      <w:pPr/>
      <w:r>
        <w:rPr>
          <w:i w:val="0"/>
        </w:rPr>
        <w:t>The chapter describes the animals breeding before the rods, but it does not require the rods themselves to possess magical genetic power. Jacob later testifies that in a dream God showed him the breeding males as ringstraked, speckled and grisled (Genesis 31:10–12), and explicitly says, “God hath taken away the cattle of your father, and given them to me” (31:9). That later explanation governs the reading of the visible technique here.</w:t>
      </w:r>
    </w:p>
    <w:p>
      <w:pPr>
        <w:pStyle w:val="Heading2"/>
      </w:pPr>
      <w:r>
        <w:t>Genesis 30:40–42 — separation of flocks and stronger stock</w:t>
      </w:r>
    </w:p>
    <w:p>
      <w:pPr/>
      <w:r>
        <w:rPr>
          <w:i w:val="0"/>
        </w:rPr>
        <w:t>Jacob separates the offspring and manages the breeding so that stronger animals contribute to his agreed flock while weaker ones remain Laban’s. The husbandry is deliberate and skilled, but the narrative’s theology does not attribute Jacob’s success to occult practice. Human labour and providence operate together.</w:t>
      </w:r>
    </w:p>
    <w:p>
      <w:pPr>
        <w:pStyle w:val="Heading2"/>
      </w:pPr>
      <w:r>
        <w:t>Genesis 30:43 — “increased exceedingly”</w:t>
      </w:r>
    </w:p>
    <w:p>
      <w:pPr/>
      <w:r>
        <w:rPr>
          <w:i w:val="0"/>
        </w:rPr>
        <w:t>Jacob becomes exceedingly prosperous in flocks, servants, camels and asses. Laban’s repeated attempts to exploit him are being reversed, preparing for the open conflict and Divine command to return home in Genesis 31.</w:t>
      </w:r>
    </w:p>
    <w:p>
      <w:pPr>
        <w:pStyle w:val="Heading1"/>
      </w:pPr>
      <w:r>
        <w:t>PRINCIPAL THEMES</w:t>
      </w:r>
    </w:p>
    <w:p>
      <w:pPr>
        <w:ind w:left="259" w:hanging="202"/>
      </w:pPr>
      <w:r>
        <w:rPr>
          <w:b/>
        </w:rPr>
        <w:t xml:space="preserve">• </w:t>
      </w:r>
      <w:r>
        <w:t>God, not human manipulation, controls the opening of the womb.</w:t>
      </w:r>
    </w:p>
    <w:p>
      <w:pPr>
        <w:ind w:left="259" w:hanging="202"/>
      </w:pPr>
      <w:r>
        <w:rPr>
          <w:b/>
        </w:rPr>
        <w:t xml:space="preserve">• </w:t>
      </w:r>
      <w:r>
        <w:t>Rachel and Leah’s rivalry exposes the damage produced by comparison and competition.</w:t>
      </w:r>
    </w:p>
    <w:p>
      <w:pPr>
        <w:ind w:left="259" w:hanging="202"/>
      </w:pPr>
      <w:r>
        <w:rPr>
          <w:b/>
        </w:rPr>
        <w:t xml:space="preserve">• </w:t>
      </w:r>
      <w:r>
        <w:t>Mandrake superstition is displaced by the explicit statement that God hears prayer.</w:t>
      </w:r>
    </w:p>
    <w:p>
      <w:pPr>
        <w:ind w:left="259" w:hanging="202"/>
      </w:pPr>
      <w:r>
        <w:rPr>
          <w:b/>
        </w:rPr>
        <w:t xml:space="preserve">• </w:t>
      </w:r>
      <w:r>
        <w:t>Joseph’s name combines removal of reproach with hope of further addition.</w:t>
      </w:r>
    </w:p>
    <w:p>
      <w:pPr>
        <w:ind w:left="259" w:hanging="202"/>
      </w:pPr>
      <w:r>
        <w:rPr>
          <w:b/>
        </w:rPr>
        <w:t xml:space="preserve">• </w:t>
      </w:r>
      <w:r>
        <w:t>Laban recognises that blessing has come to him through Jacob.</w:t>
      </w:r>
    </w:p>
    <w:p>
      <w:pPr>
        <w:ind w:left="259" w:hanging="202"/>
      </w:pPr>
      <w:r>
        <w:rPr>
          <w:b/>
        </w:rPr>
        <w:t xml:space="preserve">• </w:t>
      </w:r>
      <w:r>
        <w:t>Jacob’s flock prospers under Divine providence rather than magical power in rods.</w:t>
      </w:r>
    </w:p>
    <w:p>
      <w:pPr>
        <w:ind w:left="259" w:hanging="202"/>
      </w:pPr>
      <w:r>
        <w:rPr>
          <w:b/>
        </w:rPr>
        <w:t xml:space="preserve">• </w:t>
      </w:r>
      <w:r>
        <w:t>Human skill is real, but Genesis 31 identifies God as the decisive source of Jacob’s increase.</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7"/>
              </w:rPr>
              <w:t>Location</w:t>
            </w:r>
          </w:p>
        </w:tc>
        <w:tc>
          <w:tcPr>
            <w:tcW w:type="dxa" w:w="3552"/>
          </w:tcPr>
          <w:p>
            <w:r>
              <w:rPr>
                <w:rFonts w:ascii="Arial" w:hAnsi="Arial"/>
                <w:b/>
                <w:sz w:val="17"/>
              </w:rPr>
              <w:t>Checked / corrected reading</w:t>
            </w:r>
          </w:p>
        </w:tc>
        <w:tc>
          <w:tcPr>
            <w:tcW w:type="dxa" w:w="3552"/>
          </w:tcPr>
          <w:p>
            <w:r>
              <w:rPr>
                <w:rFonts w:ascii="Arial" w:hAnsi="Arial"/>
                <w:b/>
                <w:sz w:val="17"/>
              </w:rPr>
              <w:t>Basis</w:t>
            </w:r>
          </w:p>
        </w:tc>
      </w:tr>
      <w:tr>
        <w:tc>
          <w:tcPr>
            <w:tcW w:type="dxa" w:w="3552"/>
            <w:vAlign w:val="top"/>
          </w:tcPr>
          <w:p>
            <w:pPr>
              <w:spacing w:after="0"/>
            </w:pPr>
            <w:r>
              <w:rPr>
                <w:rFonts w:ascii="Times New Roman" w:hAnsi="Times New Roman"/>
                <w:sz w:val="16"/>
              </w:rPr>
              <w:t>Gen. 30:2</w:t>
            </w:r>
          </w:p>
        </w:tc>
        <w:tc>
          <w:tcPr>
            <w:tcW w:type="dxa" w:w="3552"/>
            <w:vAlign w:val="top"/>
          </w:tcPr>
          <w:p>
            <w:pPr>
              <w:spacing w:after="0"/>
            </w:pPr>
            <w:r>
              <w:rPr>
                <w:rFonts w:ascii="Times New Roman" w:hAnsi="Times New Roman"/>
                <w:sz w:val="16"/>
              </w:rPr>
              <w:t>Psa. 127:3</w:t>
            </w:r>
          </w:p>
        </w:tc>
        <w:tc>
          <w:tcPr>
            <w:tcW w:type="dxa" w:w="3552"/>
            <w:vAlign w:val="top"/>
          </w:tcPr>
          <w:p>
            <w:pPr>
              <w:spacing w:after="0"/>
            </w:pPr>
            <w:r>
              <w:rPr>
                <w:rFonts w:ascii="Times New Roman" w:hAnsi="Times New Roman"/>
                <w:sz w:val="16"/>
              </w:rPr>
              <w:t>Checks the repeated theme that children/fertility are Divine gifts.</w:t>
            </w:r>
          </w:p>
        </w:tc>
      </w:tr>
      <w:tr>
        <w:tc>
          <w:tcPr>
            <w:tcW w:type="dxa" w:w="3552"/>
            <w:vAlign w:val="top"/>
          </w:tcPr>
          <w:p>
            <w:pPr>
              <w:spacing w:after="0"/>
            </w:pPr>
            <w:r>
              <w:rPr>
                <w:rFonts w:ascii="Times New Roman" w:hAnsi="Times New Roman"/>
                <w:sz w:val="16"/>
              </w:rPr>
              <w:t>Gen. 30:3</w:t>
            </w:r>
          </w:p>
        </w:tc>
        <w:tc>
          <w:tcPr>
            <w:tcW w:type="dxa" w:w="3552"/>
            <w:vAlign w:val="top"/>
          </w:tcPr>
          <w:p>
            <w:pPr>
              <w:spacing w:after="0"/>
            </w:pPr>
            <w:r>
              <w:rPr>
                <w:rFonts w:ascii="Times New Roman" w:hAnsi="Times New Roman"/>
                <w:sz w:val="16"/>
              </w:rPr>
              <w:t>Gen. 48:10–12; 50:23</w:t>
            </w:r>
          </w:p>
        </w:tc>
        <w:tc>
          <w:tcPr>
            <w:tcW w:type="dxa" w:w="3552"/>
            <w:vAlign w:val="top"/>
          </w:tcPr>
          <w:p>
            <w:pPr>
              <w:spacing w:after="0"/>
            </w:pPr>
            <w:r>
              <w:rPr>
                <w:rFonts w:ascii="Times New Roman" w:hAnsi="Times New Roman"/>
                <w:sz w:val="16"/>
              </w:rPr>
              <w:t>Supports the “upon my knees” parenthood/adoption idiom.</w:t>
            </w:r>
          </w:p>
        </w:tc>
      </w:tr>
      <w:tr>
        <w:tc>
          <w:tcPr>
            <w:tcW w:type="dxa" w:w="3552"/>
            <w:vAlign w:val="top"/>
          </w:tcPr>
          <w:p>
            <w:pPr>
              <w:spacing w:after="0"/>
            </w:pPr>
            <w:r>
              <w:rPr>
                <w:rFonts w:ascii="Times New Roman" w:hAnsi="Times New Roman"/>
                <w:sz w:val="16"/>
              </w:rPr>
              <w:t>Gen. 30:6</w:t>
            </w:r>
          </w:p>
        </w:tc>
        <w:tc>
          <w:tcPr>
            <w:tcW w:type="dxa" w:w="3552"/>
            <w:vAlign w:val="top"/>
          </w:tcPr>
          <w:p>
            <w:pPr>
              <w:spacing w:after="0"/>
            </w:pPr>
            <w:r>
              <w:rPr>
                <w:rFonts w:ascii="Times New Roman" w:hAnsi="Times New Roman"/>
                <w:sz w:val="16"/>
              </w:rPr>
              <w:t>din / Dan</w:t>
            </w:r>
          </w:p>
        </w:tc>
        <w:tc>
          <w:tcPr>
            <w:tcW w:type="dxa" w:w="3552"/>
            <w:vAlign w:val="top"/>
          </w:tcPr>
          <w:p>
            <w:pPr>
              <w:spacing w:after="0"/>
            </w:pPr>
            <w:r>
              <w:rPr>
                <w:rFonts w:ascii="Times New Roman" w:hAnsi="Times New Roman"/>
                <w:sz w:val="16"/>
              </w:rPr>
              <w:t>Judging/vindication wordplay confirmed.</w:t>
            </w:r>
          </w:p>
        </w:tc>
      </w:tr>
      <w:tr>
        <w:tc>
          <w:tcPr>
            <w:tcW w:type="dxa" w:w="3552"/>
            <w:vAlign w:val="top"/>
          </w:tcPr>
          <w:p>
            <w:pPr>
              <w:spacing w:after="0"/>
            </w:pPr>
            <w:r>
              <w:rPr>
                <w:rFonts w:ascii="Times New Roman" w:hAnsi="Times New Roman"/>
                <w:sz w:val="16"/>
              </w:rPr>
              <w:t>Gen. 30:8</w:t>
            </w:r>
          </w:p>
        </w:tc>
        <w:tc>
          <w:tcPr>
            <w:tcW w:type="dxa" w:w="3552"/>
            <w:vAlign w:val="top"/>
          </w:tcPr>
          <w:p>
            <w:pPr>
              <w:spacing w:after="0"/>
            </w:pPr>
            <w:r>
              <w:rPr>
                <w:rFonts w:ascii="Times New Roman" w:hAnsi="Times New Roman"/>
                <w:sz w:val="16"/>
              </w:rPr>
              <w:t>“wrestlings of God”</w:t>
            </w:r>
          </w:p>
        </w:tc>
        <w:tc>
          <w:tcPr>
            <w:tcW w:type="dxa" w:w="3552"/>
            <w:vAlign w:val="top"/>
          </w:tcPr>
          <w:p>
            <w:pPr>
              <w:spacing w:after="0"/>
            </w:pPr>
            <w:r>
              <w:rPr>
                <w:rFonts w:ascii="Times New Roman" w:hAnsi="Times New Roman"/>
                <w:sz w:val="16"/>
              </w:rPr>
              <w:t>Margin/literal Hebrew refines KJV “great wrestlings”; Naphtali linked with wrestling.</w:t>
            </w:r>
          </w:p>
        </w:tc>
      </w:tr>
      <w:tr>
        <w:tc>
          <w:tcPr>
            <w:tcW w:type="dxa" w:w="3552"/>
            <w:vAlign w:val="top"/>
          </w:tcPr>
          <w:p>
            <w:pPr>
              <w:spacing w:after="0"/>
            </w:pPr>
            <w:r>
              <w:rPr>
                <w:rFonts w:ascii="Times New Roman" w:hAnsi="Times New Roman"/>
                <w:sz w:val="16"/>
              </w:rPr>
              <w:t>Gen. 30:11</w:t>
            </w:r>
          </w:p>
        </w:tc>
        <w:tc>
          <w:tcPr>
            <w:tcW w:type="dxa" w:w="3552"/>
            <w:vAlign w:val="top"/>
          </w:tcPr>
          <w:p>
            <w:pPr>
              <w:spacing w:after="0"/>
            </w:pPr>
            <w:r>
              <w:rPr>
                <w:rFonts w:ascii="Times New Roman" w:hAnsi="Times New Roman"/>
                <w:sz w:val="16"/>
              </w:rPr>
              <w:t>Gad = fortune</w:t>
            </w:r>
          </w:p>
        </w:tc>
        <w:tc>
          <w:tcPr>
            <w:tcW w:type="dxa" w:w="3552"/>
            <w:vAlign w:val="top"/>
          </w:tcPr>
          <w:p>
            <w:pPr>
              <w:spacing w:after="0"/>
            </w:pPr>
            <w:r>
              <w:rPr>
                <w:rFonts w:ascii="Times New Roman" w:hAnsi="Times New Roman"/>
                <w:sz w:val="16"/>
              </w:rPr>
              <w:t>Corrects simple identification of KJV “troop”; Gen. 49:19 uses a separate troop wordplay.</w:t>
            </w:r>
          </w:p>
        </w:tc>
      </w:tr>
      <w:tr>
        <w:tc>
          <w:tcPr>
            <w:tcW w:type="dxa" w:w="3552"/>
            <w:vAlign w:val="top"/>
          </w:tcPr>
          <w:p>
            <w:pPr>
              <w:spacing w:after="0"/>
            </w:pPr>
            <w:r>
              <w:rPr>
                <w:rFonts w:ascii="Times New Roman" w:hAnsi="Times New Roman"/>
                <w:sz w:val="16"/>
              </w:rPr>
              <w:t>Gen. 30:13</w:t>
            </w:r>
          </w:p>
        </w:tc>
        <w:tc>
          <w:tcPr>
            <w:tcW w:type="dxa" w:w="3552"/>
            <w:vAlign w:val="top"/>
          </w:tcPr>
          <w:p>
            <w:pPr>
              <w:spacing w:after="0"/>
            </w:pPr>
            <w:r>
              <w:rPr>
                <w:rFonts w:ascii="Times New Roman" w:hAnsi="Times New Roman"/>
                <w:sz w:val="16"/>
              </w:rPr>
              <w:t>Asher</w:t>
            </w:r>
          </w:p>
        </w:tc>
        <w:tc>
          <w:tcPr>
            <w:tcW w:type="dxa" w:w="3552"/>
            <w:vAlign w:val="top"/>
          </w:tcPr>
          <w:p>
            <w:pPr>
              <w:spacing w:after="0"/>
            </w:pPr>
            <w:r>
              <w:rPr>
                <w:rFonts w:ascii="Times New Roman" w:hAnsi="Times New Roman"/>
                <w:sz w:val="16"/>
              </w:rPr>
              <w:t>Happy/blessed wordplay confirmed.</w:t>
            </w:r>
          </w:p>
        </w:tc>
      </w:tr>
      <w:tr>
        <w:tc>
          <w:tcPr>
            <w:tcW w:type="dxa" w:w="3552"/>
            <w:vAlign w:val="top"/>
          </w:tcPr>
          <w:p>
            <w:pPr>
              <w:spacing w:after="0"/>
            </w:pPr>
            <w:r>
              <w:rPr>
                <w:rFonts w:ascii="Times New Roman" w:hAnsi="Times New Roman"/>
                <w:sz w:val="16"/>
              </w:rPr>
              <w:t>Gen. 30:14</w:t>
            </w:r>
          </w:p>
        </w:tc>
        <w:tc>
          <w:tcPr>
            <w:tcW w:type="dxa" w:w="3552"/>
            <w:vAlign w:val="top"/>
          </w:tcPr>
          <w:p>
            <w:pPr>
              <w:spacing w:after="0"/>
            </w:pPr>
            <w:r>
              <w:rPr>
                <w:rFonts w:ascii="Times New Roman" w:hAnsi="Times New Roman"/>
                <w:sz w:val="16"/>
              </w:rPr>
              <w:t>dudaim</w:t>
            </w:r>
          </w:p>
        </w:tc>
        <w:tc>
          <w:tcPr>
            <w:tcW w:type="dxa" w:w="3552"/>
            <w:vAlign w:val="top"/>
          </w:tcPr>
          <w:p>
            <w:pPr>
              <w:spacing w:after="0"/>
            </w:pPr>
            <w:r>
              <w:rPr>
                <w:rFonts w:ascii="Times New Roman" w:hAnsi="Times New Roman"/>
                <w:sz w:val="16"/>
              </w:rPr>
              <w:t>Mandrakes/love-plants; fertility association is traditional belief, not inspired endorsement.</w:t>
            </w:r>
          </w:p>
        </w:tc>
      </w:tr>
      <w:tr>
        <w:tc>
          <w:tcPr>
            <w:tcW w:type="dxa" w:w="3552"/>
            <w:vAlign w:val="top"/>
          </w:tcPr>
          <w:p>
            <w:pPr>
              <w:spacing w:after="0"/>
            </w:pPr>
            <w:r>
              <w:rPr>
                <w:rFonts w:ascii="Times New Roman" w:hAnsi="Times New Roman"/>
                <w:sz w:val="16"/>
              </w:rPr>
              <w:t>Gen. 30:18</w:t>
            </w:r>
          </w:p>
        </w:tc>
        <w:tc>
          <w:tcPr>
            <w:tcW w:type="dxa" w:w="3552"/>
            <w:vAlign w:val="top"/>
          </w:tcPr>
          <w:p>
            <w:pPr>
              <w:spacing w:after="0"/>
            </w:pPr>
            <w:r>
              <w:rPr>
                <w:rFonts w:ascii="Times New Roman" w:hAnsi="Times New Roman"/>
                <w:sz w:val="16"/>
              </w:rPr>
              <w:t>sakar / Issachar</w:t>
            </w:r>
          </w:p>
        </w:tc>
        <w:tc>
          <w:tcPr>
            <w:tcW w:type="dxa" w:w="3552"/>
            <w:vAlign w:val="top"/>
          </w:tcPr>
          <w:p>
            <w:pPr>
              <w:spacing w:after="0"/>
            </w:pPr>
            <w:r>
              <w:rPr>
                <w:rFonts w:ascii="Times New Roman" w:hAnsi="Times New Roman"/>
                <w:sz w:val="16"/>
              </w:rPr>
              <w:t>Hire/reward wordplay confirmed; exact name morphology kept cautious.</w:t>
            </w:r>
          </w:p>
        </w:tc>
      </w:tr>
      <w:tr>
        <w:tc>
          <w:tcPr>
            <w:tcW w:type="dxa" w:w="3552"/>
            <w:vAlign w:val="top"/>
          </w:tcPr>
          <w:p>
            <w:pPr>
              <w:spacing w:after="0"/>
            </w:pPr>
            <w:r>
              <w:rPr>
                <w:rFonts w:ascii="Times New Roman" w:hAnsi="Times New Roman"/>
                <w:sz w:val="16"/>
              </w:rPr>
              <w:t>Gen. 30:20</w:t>
            </w:r>
          </w:p>
        </w:tc>
        <w:tc>
          <w:tcPr>
            <w:tcW w:type="dxa" w:w="3552"/>
            <w:vAlign w:val="top"/>
          </w:tcPr>
          <w:p>
            <w:pPr>
              <w:spacing w:after="0"/>
            </w:pPr>
            <w:r>
              <w:rPr>
                <w:rFonts w:ascii="Times New Roman" w:hAnsi="Times New Roman"/>
                <w:sz w:val="16"/>
              </w:rPr>
              <w:t>Zebulun</w:t>
            </w:r>
          </w:p>
        </w:tc>
        <w:tc>
          <w:tcPr>
            <w:tcW w:type="dxa" w:w="3552"/>
            <w:vAlign w:val="top"/>
          </w:tcPr>
          <w:p>
            <w:pPr>
              <w:spacing w:after="0"/>
            </w:pPr>
            <w:r>
              <w:rPr>
                <w:rFonts w:ascii="Times New Roman" w:hAnsi="Times New Roman"/>
                <w:sz w:val="16"/>
              </w:rPr>
              <w:t>Dwelling/endowment wordplay retained with lexical caution.</w:t>
            </w:r>
          </w:p>
        </w:tc>
      </w:tr>
      <w:tr>
        <w:tc>
          <w:tcPr>
            <w:tcW w:type="dxa" w:w="3552"/>
            <w:vAlign w:val="top"/>
          </w:tcPr>
          <w:p>
            <w:pPr>
              <w:spacing w:after="0"/>
            </w:pPr>
            <w:r>
              <w:rPr>
                <w:rFonts w:ascii="Times New Roman" w:hAnsi="Times New Roman"/>
                <w:sz w:val="16"/>
              </w:rPr>
              <w:t>Gen. 30:21</w:t>
            </w:r>
          </w:p>
        </w:tc>
        <w:tc>
          <w:tcPr>
            <w:tcW w:type="dxa" w:w="3552"/>
            <w:vAlign w:val="top"/>
          </w:tcPr>
          <w:p>
            <w:pPr>
              <w:spacing w:after="0"/>
            </w:pPr>
            <w:r>
              <w:rPr>
                <w:rFonts w:ascii="Times New Roman" w:hAnsi="Times New Roman"/>
                <w:sz w:val="16"/>
              </w:rPr>
              <w:t>Dinah / din</w:t>
            </w:r>
          </w:p>
        </w:tc>
        <w:tc>
          <w:tcPr>
            <w:tcW w:type="dxa" w:w="3552"/>
            <w:vAlign w:val="top"/>
          </w:tcPr>
          <w:p>
            <w:pPr>
              <w:spacing w:after="0"/>
            </w:pPr>
            <w:r>
              <w:rPr>
                <w:rFonts w:ascii="Times New Roman" w:hAnsi="Times New Roman"/>
                <w:sz w:val="16"/>
              </w:rPr>
              <w:t>Judgment/name association checked.</w:t>
            </w:r>
          </w:p>
        </w:tc>
      </w:tr>
      <w:tr>
        <w:tc>
          <w:tcPr>
            <w:tcW w:type="dxa" w:w="3552"/>
            <w:vAlign w:val="top"/>
          </w:tcPr>
          <w:p>
            <w:pPr>
              <w:spacing w:after="0"/>
            </w:pPr>
            <w:r>
              <w:rPr>
                <w:rFonts w:ascii="Times New Roman" w:hAnsi="Times New Roman"/>
                <w:sz w:val="16"/>
              </w:rPr>
              <w:t>Gen. 30:22–24</w:t>
            </w:r>
          </w:p>
        </w:tc>
        <w:tc>
          <w:tcPr>
            <w:tcW w:type="dxa" w:w="3552"/>
            <w:vAlign w:val="top"/>
          </w:tcPr>
          <w:p>
            <w:pPr>
              <w:spacing w:after="0"/>
            </w:pPr>
            <w:r>
              <w:rPr>
                <w:rFonts w:ascii="Times New Roman" w:hAnsi="Times New Roman"/>
                <w:sz w:val="16"/>
              </w:rPr>
              <w:t>asaph / yasaph</w:t>
            </w:r>
          </w:p>
        </w:tc>
        <w:tc>
          <w:tcPr>
            <w:tcW w:type="dxa" w:w="3552"/>
            <w:vAlign w:val="top"/>
          </w:tcPr>
          <w:p>
            <w:pPr>
              <w:spacing w:after="0"/>
            </w:pPr>
            <w:r>
              <w:rPr>
                <w:rFonts w:ascii="Times New Roman" w:hAnsi="Times New Roman"/>
                <w:sz w:val="16"/>
              </w:rPr>
              <w:t>Joseph narrative contains both ‘take away’ and ‘add’ wordplays.</w:t>
            </w:r>
          </w:p>
        </w:tc>
      </w:tr>
      <w:tr>
        <w:tc>
          <w:tcPr>
            <w:tcW w:type="dxa" w:w="3552"/>
            <w:vAlign w:val="top"/>
          </w:tcPr>
          <w:p>
            <w:pPr>
              <w:spacing w:after="0"/>
            </w:pPr>
            <w:r>
              <w:rPr>
                <w:rFonts w:ascii="Times New Roman" w:hAnsi="Times New Roman"/>
                <w:sz w:val="16"/>
              </w:rPr>
              <w:t>Gen. 30:27</w:t>
            </w:r>
          </w:p>
        </w:tc>
        <w:tc>
          <w:tcPr>
            <w:tcW w:type="dxa" w:w="3552"/>
            <w:vAlign w:val="top"/>
          </w:tcPr>
          <w:p>
            <w:pPr>
              <w:spacing w:after="0"/>
            </w:pPr>
            <w:r>
              <w:rPr>
                <w:rFonts w:ascii="Times New Roman" w:hAnsi="Times New Roman"/>
                <w:sz w:val="16"/>
              </w:rPr>
              <w:t>nachash</w:t>
            </w:r>
          </w:p>
        </w:tc>
        <w:tc>
          <w:tcPr>
            <w:tcW w:type="dxa" w:w="3552"/>
            <w:vAlign w:val="top"/>
          </w:tcPr>
          <w:p>
            <w:pPr>
              <w:spacing w:after="0"/>
            </w:pPr>
            <w:r>
              <w:rPr>
                <w:rFonts w:ascii="Times New Roman" w:hAnsi="Times New Roman"/>
                <w:sz w:val="16"/>
              </w:rPr>
              <w:t>KJV ‘learned by experience’ can carry divination/omen sense; Laban’s spirituality not overstated.</w:t>
            </w:r>
          </w:p>
        </w:tc>
      </w:tr>
      <w:tr>
        <w:tc>
          <w:tcPr>
            <w:tcW w:type="dxa" w:w="3552"/>
            <w:vAlign w:val="top"/>
          </w:tcPr>
          <w:p>
            <w:pPr>
              <w:spacing w:after="0"/>
            </w:pPr>
            <w:r>
              <w:rPr>
                <w:rFonts w:ascii="Times New Roman" w:hAnsi="Times New Roman"/>
                <w:sz w:val="16"/>
              </w:rPr>
              <w:t>Gen. 30:32–33</w:t>
            </w:r>
          </w:p>
        </w:tc>
        <w:tc>
          <w:tcPr>
            <w:tcW w:type="dxa" w:w="3552"/>
            <w:vAlign w:val="top"/>
          </w:tcPr>
          <w:p>
            <w:pPr>
              <w:spacing w:after="0"/>
            </w:pPr>
            <w:r>
              <w:rPr>
                <w:rFonts w:ascii="Times New Roman" w:hAnsi="Times New Roman"/>
                <w:sz w:val="16"/>
              </w:rPr>
              <w:t>marked animals / righteousness</w:t>
            </w:r>
          </w:p>
        </w:tc>
        <w:tc>
          <w:tcPr>
            <w:tcW w:type="dxa" w:w="3552"/>
            <w:vAlign w:val="top"/>
          </w:tcPr>
          <w:p>
            <w:pPr>
              <w:spacing w:after="0"/>
            </w:pPr>
            <w:r>
              <w:rPr>
                <w:rFonts w:ascii="Times New Roman" w:hAnsi="Times New Roman"/>
                <w:sz w:val="16"/>
              </w:rPr>
              <w:t>Agreement was designed to be objectively auditable.</w:t>
            </w:r>
          </w:p>
        </w:tc>
      </w:tr>
      <w:tr>
        <w:tc>
          <w:tcPr>
            <w:tcW w:type="dxa" w:w="3552"/>
            <w:vAlign w:val="top"/>
          </w:tcPr>
          <w:p>
            <w:pPr>
              <w:spacing w:after="0"/>
            </w:pPr>
            <w:r>
              <w:rPr>
                <w:rFonts w:ascii="Times New Roman" w:hAnsi="Times New Roman"/>
                <w:sz w:val="16"/>
              </w:rPr>
              <w:t>Gen. 30:37</w:t>
            </w:r>
          </w:p>
        </w:tc>
        <w:tc>
          <w:tcPr>
            <w:tcW w:type="dxa" w:w="3552"/>
            <w:vAlign w:val="top"/>
          </w:tcPr>
          <w:p>
            <w:pPr>
              <w:spacing w:after="0"/>
            </w:pPr>
            <w:r>
              <w:rPr>
                <w:rFonts w:ascii="Times New Roman" w:hAnsi="Times New Roman"/>
                <w:sz w:val="16"/>
              </w:rPr>
              <w:t>libneh; luz; armon</w:t>
            </w:r>
          </w:p>
        </w:tc>
        <w:tc>
          <w:tcPr>
            <w:tcW w:type="dxa" w:w="3552"/>
            <w:vAlign w:val="top"/>
          </w:tcPr>
          <w:p>
            <w:pPr>
              <w:spacing w:after="0"/>
            </w:pPr>
            <w:r>
              <w:rPr>
                <w:rFonts w:ascii="Times New Roman" w:hAnsi="Times New Roman"/>
                <w:sz w:val="16"/>
              </w:rPr>
              <w:t>Older KJV tree names are not all botanically certain; modern identifications noted cautiously.</w:t>
            </w:r>
          </w:p>
        </w:tc>
      </w:tr>
      <w:tr>
        <w:tc>
          <w:tcPr>
            <w:tcW w:type="dxa" w:w="3552"/>
            <w:vAlign w:val="top"/>
          </w:tcPr>
          <w:p>
            <w:pPr>
              <w:spacing w:after="0"/>
            </w:pPr>
            <w:r>
              <w:rPr>
                <w:rFonts w:ascii="Times New Roman" w:hAnsi="Times New Roman"/>
                <w:sz w:val="16"/>
              </w:rPr>
              <w:t>Gen. 30:37–43</w:t>
            </w:r>
          </w:p>
        </w:tc>
        <w:tc>
          <w:tcPr>
            <w:tcW w:type="dxa" w:w="3552"/>
            <w:vAlign w:val="top"/>
          </w:tcPr>
          <w:p>
            <w:pPr>
              <w:spacing w:after="0"/>
            </w:pPr>
            <w:r>
              <w:rPr>
                <w:rFonts w:ascii="Times New Roman" w:hAnsi="Times New Roman"/>
                <w:sz w:val="16"/>
              </w:rPr>
              <w:t>Gen. 31:9–12</w:t>
            </w:r>
          </w:p>
        </w:tc>
        <w:tc>
          <w:tcPr>
            <w:tcW w:type="dxa" w:w="3552"/>
            <w:vAlign w:val="top"/>
          </w:tcPr>
          <w:p>
            <w:pPr>
              <w:spacing w:after="0"/>
            </w:pPr>
            <w:r>
              <w:rPr>
                <w:rFonts w:ascii="Times New Roman" w:hAnsi="Times New Roman"/>
                <w:sz w:val="16"/>
              </w:rPr>
              <w:t>Controls interpretation: God transferred the flock; rods are not treated as magic.</w:t>
            </w:r>
          </w:p>
        </w:tc>
      </w:tr>
    </w:tbl>
    <w:p>
      <w:pPr>
        <w:pStyle w:val="Heading1"/>
      </w:pPr>
      <w:r>
        <w:t>RESIDUAL UNCERTAINTIES</w:t>
      </w:r>
    </w:p>
    <w:p>
      <w:pPr/>
      <w:r>
        <w:rPr>
          <w:i w:val="0"/>
        </w:rPr>
        <w:t>Several personal-name derivations admit more than one possible Hebrew analysis, especially Gad, Issachar and Zebulun; the document therefore follows the wordplay supplied by the verses without pretending to settle every etymological detail. The exact botanical identity of the three rods in verse 37 is also uncertain. Mansfield’s wider Leah/Rachel and flock typologies remain interpretative layers and have not been presented as the lexical meaning of the Hebrew text.</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4"/>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50" w:after="24"/>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