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31</w:t>
      </w:r>
    </w:p>
    <w:p>
      <w:pPr>
        <w:pStyle w:val="Subtitle"/>
      </w:pPr>
      <w:r>
        <w:t>RETURN TO THE LAND • THE FLIGHT FROM LABAN • TERAPHIM AND PURSUIT • GALEED AND MIZPAH</w:t>
      </w:r>
    </w:p>
    <w:p>
      <w:pPr/>
      <w:r>
        <w:rPr>
          <w:i/>
        </w:rPr>
        <w:t>H. P. Mansfield Bible notes — checked and arranged in verse-by-verse Expositor style</w:t>
      </w:r>
    </w:p>
    <w:p>
      <w:pPr/>
      <w:r>
        <w:rPr>
          <w:i w:val="0"/>
        </w:rPr>
        <w:t>Source: HPB 01-Gen01-Gen41.PDF, principally Genesis 31 photographed pages 83–86</w:t>
      </w:r>
    </w:p>
    <w:p>
      <w:pPr>
        <w:pStyle w:val="Heading1"/>
      </w:pPr>
      <w:r>
        <w:t>CHAPTER OVERVIEW</w:t>
      </w:r>
    </w:p>
    <w:p>
      <w:pPr/>
      <w:r>
        <w:rPr>
          <w:i w:val="0"/>
        </w:rPr>
        <w:t>Genesis 31 ends Jacob’s service under Laban. Hostility has increased, but the decisive reason for departure is Yahweh’s command: “Return unto the land of thy fathers ... and I will be with thee.” The God who spoke at Bethel now acts to fulfil the promise that Jacob would be preserved and brought home.</w:t>
      </w:r>
    </w:p>
    <w:p>
      <w:pPr/>
      <w:r>
        <w:rPr>
          <w:i w:val="0"/>
        </w:rPr>
        <w:t>The chapter does not idealise Jacob’s household. Jacob leaves secretly, Rachel steals Laban’s teraphim and then conceals them, and Jacob rashly pronounces a death sentence without knowing the facts. Yet Divine protection is unmistakable: God has seen Jacob’s affliction, controlled the flock increase, and restrains Laban before he can do harm.</w:t>
      </w:r>
    </w:p>
    <w:p>
      <w:pPr>
        <w:pStyle w:val="Heading1"/>
      </w:pPr>
      <w:r>
        <w:t>YAHWEH CALLS JACOB HOME — GENESIS 31:1–16</w:t>
      </w:r>
    </w:p>
    <w:p>
      <w:pPr>
        <w:pStyle w:val="Heading2"/>
      </w:pPr>
      <w:r>
        <w:t>Genesis 31:1–3 — hostility and Divine command</w:t>
      </w:r>
    </w:p>
    <w:p>
      <w:pPr/>
      <w:r>
        <w:rPr>
          <w:i w:val="0"/>
        </w:rPr>
        <w:t>Laban’s sons accuse Jacob of taking their father’s wealth, and Jacob sees that Laban’s attitude is no longer as before. Yahweh then commands him to return to Canaan and repeats the assurance, “I will be with thee.” The return is therefore not merely an escape from a difficult employer; it is an act of obedience to the God of Bethel.</w:t>
      </w:r>
    </w:p>
    <w:p>
      <w:pPr>
        <w:pStyle w:val="Heading2"/>
      </w:pPr>
      <w:r>
        <w:t>Genesis 31:4–9 — God, not Laban, determined the outcome</w:t>
      </w:r>
    </w:p>
    <w:p>
      <w:pPr/>
      <w:r>
        <w:rPr>
          <w:i w:val="0"/>
        </w:rPr>
        <w:t>Jacob calls Rachel and Leah into the field and explains both Laban’s changed attitude and the overriding fact: “the God of my father hath been with me.” He had served with all his koach — strength or vigour. Laban had cheated him and changed his wages “ten times,” an idiom that may denote repeated changes rather than requiring exactly ten documented renegotiations. Whatever pattern Laban named, the corresponding animals multiplied.</w:t>
      </w:r>
    </w:p>
    <w:p>
      <w:pPr/>
      <w:r>
        <w:rPr>
          <w:i w:val="0"/>
        </w:rPr>
        <w:t>Verse 9 states Jacob’s own explanation: “God hath taken away the cattle of your father, and given them to me.” This is the authoritative interpretation of the flock episode in Genesis 30.</w:t>
      </w:r>
    </w:p>
    <w:p>
      <w:pPr>
        <w:pStyle w:val="Heading2"/>
      </w:pPr>
      <w:r>
        <w:t>Genesis 31:10–13 — the dream and “the God of Bethel”</w:t>
      </w:r>
    </w:p>
    <w:p>
      <w:pPr/>
      <w:r>
        <w:rPr>
          <w:i w:val="0"/>
        </w:rPr>
        <w:t>In the breeding-season dream Jacob sees the males as ringstraked, speckled and grisled. The angel declares, “I have seen all that Laban doeth unto thee.” The old word “grisled” represents baruddim, spotted or mottled. The revelation shows that the increase was providential, not produced by magic in peeled rods.</w:t>
      </w:r>
    </w:p>
    <w:p>
      <w:pPr/>
      <w:r>
        <w:rPr>
          <w:i w:val="0"/>
        </w:rPr>
        <w:t>God identifies Himself as “the God of Bethel,” deliberately recalling Genesis 28:18–22: the pillar Jacob anointed and the vow he made. The promise of return is now becoming a command to return.</w:t>
      </w:r>
    </w:p>
    <w:p>
      <w:pPr>
        <w:pStyle w:val="Heading2"/>
      </w:pPr>
      <w:r>
        <w:t>Genesis 31:14–16 — Rachel and Leah consent</w:t>
      </w:r>
    </w:p>
    <w:p>
      <w:pPr/>
      <w:r>
        <w:rPr>
          <w:i w:val="0"/>
        </w:rPr>
        <w:t>Rachel and Leah say they have no remaining inheritance in Laban’s house. They describe themselves as treated like strangers and “sold,” while Laban consumed the value of their marriage service. They accept Jacob’s account of God’s providence and conclude: “whatsoever God hath said unto thee, do.”</w:t>
      </w:r>
    </w:p>
    <w:p>
      <w:pPr>
        <w:pStyle w:val="Heading1"/>
      </w:pPr>
      <w:r>
        <w:t>THE FLIGHT — GENESIS 31:17–24</w:t>
      </w:r>
    </w:p>
    <w:p>
      <w:pPr>
        <w:pStyle w:val="Heading2"/>
      </w:pPr>
      <w:r>
        <w:t>Genesis 31:17–21 — Rachel steals; Jacob “steals the heart”</w:t>
      </w:r>
    </w:p>
    <w:p>
      <w:pPr/>
      <w:r>
        <w:rPr>
          <w:i w:val="0"/>
        </w:rPr>
        <w:t>Jacob loads his family and property for Canaan while Laban is away shearing. Rachel steals her father’s teraphim — small household cult objects/images. Mansfield follows older Nuzi-based scholarship in suggesting that possession of such objects could have inheritance significance. That legal reconstruction is debated and should not be stated as certain; the secure fact is that Rachel unlawfully took Laban’s teraphim.</w:t>
      </w:r>
    </w:p>
    <w:p>
      <w:pPr/>
      <w:r>
        <w:rPr>
          <w:i w:val="0"/>
        </w:rPr>
        <w:t>Verse 20 uses a striking Hebrew idiom: Jacob “stole the heart” of Laban the Aramean by not telling him he was fleeing. Thus the narrative juxtaposes Rachel stealing the teraphim with Jacob secretly depriving Laban of knowledge of the departure. Jacob crosses the Euphrates and heads toward Gilead.</w:t>
      </w:r>
    </w:p>
    <w:p>
      <w:pPr>
        <w:pStyle w:val="Heading2"/>
      </w:pPr>
      <w:r>
        <w:t>Genesis 31:22–24 — pursuit restrained by God</w:t>
      </w:r>
    </w:p>
    <w:p>
      <w:pPr/>
      <w:r>
        <w:rPr>
          <w:i w:val="0"/>
        </w:rPr>
        <w:t>Laban hears on the third day, pursues for seven days and overtakes Jacob in Gilead. Before the confrontation, God warns Laban in a dream not to speak to Jacob “from good to bad.” The idiom does not mean literal silence; compare Genesis 24:50. It restricts Laban from interfering coercively with the course God has ordered — whether by flattering inducement or hostile threat.</w:t>
      </w:r>
    </w:p>
    <w:p>
      <w:pPr>
        <w:pStyle w:val="Heading1"/>
      </w:pPr>
      <w:r>
        <w:t>LABAN’S SEARCH AND RACHEL’S CONCEALMENT — GENESIS 31:25–35</w:t>
      </w:r>
    </w:p>
    <w:p>
      <w:pPr>
        <w:pStyle w:val="Heading2"/>
      </w:pPr>
      <w:r>
        <w:t>Genesis 31:25–30 — accusation and self-justification</w:t>
      </w:r>
    </w:p>
    <w:p>
      <w:pPr/>
      <w:r>
        <w:rPr>
          <w:i w:val="0"/>
        </w:rPr>
        <w:t>Laban accuses Jacob of carrying his daughters away like captives and claims he would have dismissed the family with songs and music. He nevertheless admits that he has power to hurt Jacob but has been restrained by “the God of your father.” His final charge concerns the stolen gods, exposing the incongruity of deities that must themselves be searched for and recovered.</w:t>
      </w:r>
    </w:p>
    <w:p>
      <w:pPr>
        <w:pStyle w:val="Heading2"/>
      </w:pPr>
      <w:r>
        <w:t>Genesis 31:31–32 — Jacob’s rash words</w:t>
      </w:r>
    </w:p>
    <w:p>
      <w:pPr/>
      <w:r>
        <w:rPr>
          <w:i w:val="0"/>
        </w:rPr>
        <w:t>Jacob admits he feared that Laban would take Rachel and Leah by force. Unaware of Rachel’s act, he declares that whoever is found with the gods “shall not live.” The text explicitly adds, “For Jacob knew not that Rachel had stolen them.” Mansfield rightly treats this as a warning against absolute judgments made without full knowledge.</w:t>
      </w:r>
    </w:p>
    <w:p>
      <w:pPr>
        <w:pStyle w:val="Heading2"/>
      </w:pPr>
      <w:r>
        <w:t>Genesis 31:33–35 — the teraphim remain hidden</w:t>
      </w:r>
    </w:p>
    <w:p>
      <w:pPr/>
      <w:r>
        <w:rPr>
          <w:i w:val="0"/>
        </w:rPr>
        <w:t>Laban searches the tents. Rachel has placed the teraphim in the camel furniture and sits upon them, claiming that “the custom of women” is upon her — a reference to menstruation. Whatever her physical condition, her statement functions to prevent the search and conceal the theft. The narrative records her deception rather than approving it.</w:t>
      </w:r>
    </w:p>
    <w:p>
      <w:pPr>
        <w:pStyle w:val="Heading1"/>
      </w:pPr>
      <w:r>
        <w:t>JACOB’S DEFENCE — GENESIS 31:36–42</w:t>
      </w:r>
    </w:p>
    <w:p>
      <w:pPr>
        <w:pStyle w:val="Heading2"/>
      </w:pPr>
      <w:r>
        <w:t>Genesis 31:36–40 — twenty years of costly shepherding</w:t>
      </w:r>
    </w:p>
    <w:p>
      <w:pPr/>
      <w:r>
        <w:rPr>
          <w:i w:val="0"/>
        </w:rPr>
        <w:t>Jacob’s anger finally breaks out. He challenges Laban to produce any stolen property and recounts the cost of his shepherding: ewes and she-goats did not miscarry; he did not eat Laban’s rams; animals torn by beasts were charged to him; theft by day or night was borne by him; heat consumed him by day, frost by night, and sleep fled from his eyes.</w:t>
      </w:r>
    </w:p>
    <w:p>
      <w:pPr>
        <w:pStyle w:val="Heading2"/>
      </w:pPr>
      <w:r>
        <w:t>Genesis 31:41 — the chronology is twenty years total</w:t>
      </w:r>
    </w:p>
    <w:p>
      <w:pPr/>
      <w:r>
        <w:rPr>
          <w:i w:val="0"/>
        </w:rPr>
        <w:t>This verse is decisive: “Thus have I been twenty years in thy house; I served thee fourteen years for thy two daughters, and six years for thy cattle.” The fourteen plus six are the same twenty years, not a second twenty-year period. Mansfield’s published Expositor contains a speculative argument for forty years by treating verses 38 and 41 as two different periods; that reading cannot be sustained against the explicit arithmetic of verse 41 and has been corrected here.</w:t>
      </w:r>
    </w:p>
    <w:p>
      <w:pPr>
        <w:pStyle w:val="Heading2"/>
      </w:pPr>
      <w:r>
        <w:t>Genesis 31:42 — “the Fear of Isaac”</w:t>
      </w:r>
    </w:p>
    <w:p>
      <w:pPr/>
      <w:r>
        <w:rPr>
          <w:i w:val="0"/>
        </w:rPr>
        <w:t>Jacob says that without “the God of Abraham, and the fear of Isaac” Laban would have sent him away empty. Hebrew pachad means fear/dread; “the Fear of Isaac” is a striking designation for the God whom Isaac reverenced. God has seen Jacob’s affliction and the labour of his hands and has rebuked Laban in the preceding night.</w:t>
      </w:r>
    </w:p>
    <w:p>
      <w:pPr>
        <w:pStyle w:val="Heading1"/>
      </w:pPr>
      <w:r>
        <w:t>THE COVENANT AT GALEED — GENESIS 31:43–55</w:t>
      </w:r>
    </w:p>
    <w:p>
      <w:pPr>
        <w:pStyle w:val="Heading2"/>
      </w:pPr>
      <w:r>
        <w:t>Genesis 31:43–46 — pillar, heap and covenant meal</w:t>
      </w:r>
    </w:p>
    <w:p>
      <w:pPr/>
      <w:r>
        <w:rPr>
          <w:i w:val="0"/>
        </w:rPr>
        <w:t>Laban still speaks possessively of daughters, children and cattle, but recognises he cannot reverse the departure. A covenant is proposed. Jacob raises a stone pillar; the relatives gather stones into a heap, and the parties eat there. The physical boundary turns the conflict into a formally witnessed separation.</w:t>
      </w:r>
    </w:p>
    <w:p>
      <w:pPr>
        <w:pStyle w:val="Heading2"/>
      </w:pPr>
      <w:r>
        <w:t>Genesis 31:47–49 — Jegar-sahadutha, Galeed and Mizpah</w:t>
      </w:r>
    </w:p>
    <w:p>
      <w:pPr/>
      <w:r>
        <w:rPr>
          <w:i w:val="0"/>
        </w:rPr>
        <w:t>Laban calls the heap Jegar-sahadutha, an Aramaic expression meaning “heap of witness”; Jacob calls it Galeed, the Hebrew equivalent built from gal, heap, and ‘ed, witness. The two names therefore witness the same agreement in different languages.</w:t>
      </w:r>
    </w:p>
    <w:p>
      <w:pPr/>
      <w:r>
        <w:rPr>
          <w:i w:val="0"/>
        </w:rPr>
        <w:t>Mizpah means watch-post/watchtower. Laban’s words, “Yahweh watch between me and thee, when we are absent one from another,” are often quoted sentimentally, but in context they arise from mutual distrust: God is invoked to watch conduct when the two men can no longer watch one another.</w:t>
      </w:r>
    </w:p>
    <w:p>
      <w:pPr>
        <w:pStyle w:val="Heading2"/>
      </w:pPr>
      <w:r>
        <w:t>Genesis 31:50–55 — boundary, oath and final departure</w:t>
      </w:r>
    </w:p>
    <w:p>
      <w:pPr/>
      <w:r>
        <w:rPr>
          <w:i w:val="0"/>
        </w:rPr>
        <w:t>The heap and pillar form a boundary that neither party is to cross for harm. Laban invokes the gods of the ancestors; Jacob swears by “the Fear of his father Isaac.” Jacob then sacrifices on the mountain and shares bread with his kinsmen. Laban kisses his family, blesses them and returns home. The long period of subjection to Laban is over.</w:t>
      </w:r>
    </w:p>
    <w:p>
      <w:pPr>
        <w:pStyle w:val="Heading1"/>
      </w:pPr>
      <w:r>
        <w:t>PRINCIPAL THEMES</w:t>
      </w:r>
    </w:p>
    <w:p>
      <w:pPr>
        <w:ind w:left="259" w:hanging="202"/>
      </w:pPr>
      <w:r>
        <w:rPr>
          <w:b/>
        </w:rPr>
        <w:t xml:space="preserve">• </w:t>
      </w:r>
      <w:r>
        <w:t>The God of Bethel keeps the promise to preserve Jacob and bring him home.</w:t>
      </w:r>
    </w:p>
    <w:p>
      <w:pPr>
        <w:ind w:left="259" w:hanging="202"/>
      </w:pPr>
      <w:r>
        <w:rPr>
          <w:b/>
        </w:rPr>
        <w:t xml:space="preserve">• </w:t>
      </w:r>
      <w:r>
        <w:t>Jacob’s increase is explicitly attributed to God, not to magical breeding techniques.</w:t>
      </w:r>
    </w:p>
    <w:p>
      <w:pPr>
        <w:ind w:left="259" w:hanging="202"/>
      </w:pPr>
      <w:r>
        <w:rPr>
          <w:b/>
        </w:rPr>
        <w:t xml:space="preserve">• </w:t>
      </w:r>
      <w:r>
        <w:t>Rachel’s theft and Jacob’s secret departure show that Divine protection does not make every human method right.</w:t>
      </w:r>
    </w:p>
    <w:p>
      <w:pPr>
        <w:ind w:left="259" w:hanging="202"/>
      </w:pPr>
      <w:r>
        <w:rPr>
          <w:b/>
        </w:rPr>
        <w:t xml:space="preserve">• </w:t>
      </w:r>
      <w:r>
        <w:t>Rash judgments are dangerous when the facts are not known.</w:t>
      </w:r>
    </w:p>
    <w:p>
      <w:pPr>
        <w:ind w:left="259" w:hanging="202"/>
      </w:pPr>
      <w:r>
        <w:rPr>
          <w:b/>
        </w:rPr>
        <w:t xml:space="preserve">• </w:t>
      </w:r>
      <w:r>
        <w:t>The biblical chronology gives twenty years with Laban: fourteen for the daughters and six for the cattle.</w:t>
      </w:r>
    </w:p>
    <w:p>
      <w:pPr>
        <w:ind w:left="259" w:hanging="202"/>
      </w:pPr>
      <w:r>
        <w:rPr>
          <w:b/>
        </w:rPr>
        <w:t xml:space="preserve">• </w:t>
      </w:r>
      <w:r>
        <w:t>God sees exploited labour and restrains Laban before he can harm Jacob.</w:t>
      </w:r>
    </w:p>
    <w:p>
      <w:pPr>
        <w:ind w:left="259" w:hanging="202"/>
      </w:pPr>
      <w:r>
        <w:rPr>
          <w:b/>
        </w:rPr>
        <w:t xml:space="preserve">• </w:t>
      </w:r>
      <w:r>
        <w:t>Galeed and Mizpah are boundary witnesses to guarded separation, not symbols of uncomplicated friendship.</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7"/>
              </w:rPr>
              <w:t>Location</w:t>
            </w:r>
          </w:p>
        </w:tc>
        <w:tc>
          <w:tcPr>
            <w:tcW w:type="dxa" w:w="3552"/>
          </w:tcPr>
          <w:p>
            <w:r>
              <w:rPr>
                <w:rFonts w:ascii="Arial" w:hAnsi="Arial"/>
                <w:b/>
                <w:sz w:val="17"/>
              </w:rPr>
              <w:t>Checked / corrected reading</w:t>
            </w:r>
          </w:p>
        </w:tc>
        <w:tc>
          <w:tcPr>
            <w:tcW w:type="dxa" w:w="3552"/>
          </w:tcPr>
          <w:p>
            <w:r>
              <w:rPr>
                <w:rFonts w:ascii="Arial" w:hAnsi="Arial"/>
                <w:b/>
                <w:sz w:val="17"/>
              </w:rPr>
              <w:t>Basis</w:t>
            </w:r>
          </w:p>
        </w:tc>
      </w:tr>
      <w:tr>
        <w:tc>
          <w:tcPr>
            <w:tcW w:type="dxa" w:w="3552"/>
            <w:vAlign w:val="top"/>
          </w:tcPr>
          <w:p>
            <w:pPr>
              <w:spacing w:after="0"/>
            </w:pPr>
            <w:r>
              <w:rPr>
                <w:rFonts w:ascii="Times New Roman" w:hAnsi="Times New Roman"/>
                <w:sz w:val="16"/>
              </w:rPr>
              <w:t>Gen. 31:6</w:t>
            </w:r>
          </w:p>
        </w:tc>
        <w:tc>
          <w:tcPr>
            <w:tcW w:type="dxa" w:w="3552"/>
            <w:vAlign w:val="top"/>
          </w:tcPr>
          <w:p>
            <w:pPr>
              <w:spacing w:after="0"/>
            </w:pPr>
            <w:r>
              <w:rPr>
                <w:rFonts w:ascii="Times New Roman" w:hAnsi="Times New Roman"/>
                <w:sz w:val="16"/>
              </w:rPr>
              <w:t>koach</w:t>
            </w:r>
          </w:p>
        </w:tc>
        <w:tc>
          <w:tcPr>
            <w:tcW w:type="dxa" w:w="3552"/>
            <w:vAlign w:val="top"/>
          </w:tcPr>
          <w:p>
            <w:pPr>
              <w:spacing w:after="0"/>
            </w:pPr>
            <w:r>
              <w:rPr>
                <w:rFonts w:ascii="Times New Roman" w:hAnsi="Times New Roman"/>
                <w:sz w:val="16"/>
              </w:rPr>
              <w:t>Strength/vigour behind “with all my power.”</w:t>
            </w:r>
          </w:p>
        </w:tc>
      </w:tr>
      <w:tr>
        <w:tc>
          <w:tcPr>
            <w:tcW w:type="dxa" w:w="3552"/>
            <w:vAlign w:val="top"/>
          </w:tcPr>
          <w:p>
            <w:pPr>
              <w:spacing w:after="0"/>
            </w:pPr>
            <w:r>
              <w:rPr>
                <w:rFonts w:ascii="Times New Roman" w:hAnsi="Times New Roman"/>
                <w:sz w:val="16"/>
              </w:rPr>
              <w:t>Gen. 31:7</w:t>
            </w:r>
          </w:p>
        </w:tc>
        <w:tc>
          <w:tcPr>
            <w:tcW w:type="dxa" w:w="3552"/>
            <w:vAlign w:val="top"/>
          </w:tcPr>
          <w:p>
            <w:pPr>
              <w:spacing w:after="0"/>
            </w:pPr>
            <w:r>
              <w:rPr>
                <w:rFonts w:ascii="Times New Roman" w:hAnsi="Times New Roman"/>
                <w:sz w:val="16"/>
              </w:rPr>
              <w:t>hathal; “ten times”</w:t>
            </w:r>
          </w:p>
        </w:tc>
        <w:tc>
          <w:tcPr>
            <w:tcW w:type="dxa" w:w="3552"/>
            <w:vAlign w:val="top"/>
          </w:tcPr>
          <w:p>
            <w:pPr>
              <w:spacing w:after="0"/>
            </w:pPr>
            <w:r>
              <w:rPr>
                <w:rFonts w:ascii="Times New Roman" w:hAnsi="Times New Roman"/>
                <w:sz w:val="16"/>
              </w:rPr>
              <w:t>Cheat/plunder sense recovered; number can function idiomatically for repeated changes.</w:t>
            </w:r>
          </w:p>
        </w:tc>
      </w:tr>
      <w:tr>
        <w:tc>
          <w:tcPr>
            <w:tcW w:type="dxa" w:w="3552"/>
            <w:vAlign w:val="top"/>
          </w:tcPr>
          <w:p>
            <w:pPr>
              <w:spacing w:after="0"/>
            </w:pPr>
            <w:r>
              <w:rPr>
                <w:rFonts w:ascii="Times New Roman" w:hAnsi="Times New Roman"/>
                <w:sz w:val="16"/>
              </w:rPr>
              <w:t>Gen. 31:9–12</w:t>
            </w:r>
          </w:p>
        </w:tc>
        <w:tc>
          <w:tcPr>
            <w:tcW w:type="dxa" w:w="3552"/>
            <w:vAlign w:val="top"/>
          </w:tcPr>
          <w:p>
            <w:pPr>
              <w:spacing w:after="0"/>
            </w:pPr>
            <w:r>
              <w:rPr>
                <w:rFonts w:ascii="Times New Roman" w:hAnsi="Times New Roman"/>
                <w:sz w:val="16"/>
              </w:rPr>
              <w:t>Gen. 30:37–43</w:t>
            </w:r>
          </w:p>
        </w:tc>
        <w:tc>
          <w:tcPr>
            <w:tcW w:type="dxa" w:w="3552"/>
            <w:vAlign w:val="top"/>
          </w:tcPr>
          <w:p>
            <w:pPr>
              <w:spacing w:after="0"/>
            </w:pPr>
            <w:r>
              <w:rPr>
                <w:rFonts w:ascii="Times New Roman" w:hAnsi="Times New Roman"/>
                <w:sz w:val="16"/>
              </w:rPr>
              <w:t>Jacob explicitly attributes flock transfer to God; controls the rods passage.</w:t>
            </w:r>
          </w:p>
        </w:tc>
      </w:tr>
      <w:tr>
        <w:tc>
          <w:tcPr>
            <w:tcW w:type="dxa" w:w="3552"/>
            <w:vAlign w:val="top"/>
          </w:tcPr>
          <w:p>
            <w:pPr>
              <w:spacing w:after="0"/>
            </w:pPr>
            <w:r>
              <w:rPr>
                <w:rFonts w:ascii="Times New Roman" w:hAnsi="Times New Roman"/>
                <w:sz w:val="16"/>
              </w:rPr>
              <w:t>Gen. 31:10</w:t>
            </w:r>
          </w:p>
        </w:tc>
        <w:tc>
          <w:tcPr>
            <w:tcW w:type="dxa" w:w="3552"/>
            <w:vAlign w:val="top"/>
          </w:tcPr>
          <w:p>
            <w:pPr>
              <w:spacing w:after="0"/>
            </w:pPr>
            <w:r>
              <w:rPr>
                <w:rFonts w:ascii="Times New Roman" w:hAnsi="Times New Roman"/>
                <w:sz w:val="16"/>
              </w:rPr>
              <w:t>baruddim</w:t>
            </w:r>
          </w:p>
        </w:tc>
        <w:tc>
          <w:tcPr>
            <w:tcW w:type="dxa" w:w="3552"/>
            <w:vAlign w:val="top"/>
          </w:tcPr>
          <w:p>
            <w:pPr>
              <w:spacing w:after="0"/>
            </w:pPr>
            <w:r>
              <w:rPr>
                <w:rFonts w:ascii="Times New Roman" w:hAnsi="Times New Roman"/>
                <w:sz w:val="16"/>
              </w:rPr>
              <w:t>KJV “grisled” = spotted/mottled.</w:t>
            </w:r>
          </w:p>
        </w:tc>
      </w:tr>
      <w:tr>
        <w:tc>
          <w:tcPr>
            <w:tcW w:type="dxa" w:w="3552"/>
            <w:vAlign w:val="top"/>
          </w:tcPr>
          <w:p>
            <w:pPr>
              <w:spacing w:after="0"/>
            </w:pPr>
            <w:r>
              <w:rPr>
                <w:rFonts w:ascii="Times New Roman" w:hAnsi="Times New Roman"/>
                <w:sz w:val="16"/>
              </w:rPr>
              <w:t>Gen. 31:13</w:t>
            </w:r>
          </w:p>
        </w:tc>
        <w:tc>
          <w:tcPr>
            <w:tcW w:type="dxa" w:w="3552"/>
            <w:vAlign w:val="top"/>
          </w:tcPr>
          <w:p>
            <w:pPr>
              <w:spacing w:after="0"/>
            </w:pPr>
            <w:r>
              <w:rPr>
                <w:rFonts w:ascii="Times New Roman" w:hAnsi="Times New Roman"/>
                <w:sz w:val="16"/>
              </w:rPr>
              <w:t>Gen. 28:18–22</w:t>
            </w:r>
          </w:p>
        </w:tc>
        <w:tc>
          <w:tcPr>
            <w:tcW w:type="dxa" w:w="3552"/>
            <w:vAlign w:val="top"/>
          </w:tcPr>
          <w:p>
            <w:pPr>
              <w:spacing w:after="0"/>
            </w:pPr>
            <w:r>
              <w:rPr>
                <w:rFonts w:ascii="Times New Roman" w:hAnsi="Times New Roman"/>
                <w:sz w:val="16"/>
              </w:rPr>
              <w:t>“God of Bethel” directly recalls pillar and vow.</w:t>
            </w:r>
          </w:p>
        </w:tc>
      </w:tr>
      <w:tr>
        <w:tc>
          <w:tcPr>
            <w:tcW w:type="dxa" w:w="3552"/>
            <w:vAlign w:val="top"/>
          </w:tcPr>
          <w:p>
            <w:pPr>
              <w:spacing w:after="0"/>
            </w:pPr>
            <w:r>
              <w:rPr>
                <w:rFonts w:ascii="Times New Roman" w:hAnsi="Times New Roman"/>
                <w:sz w:val="16"/>
              </w:rPr>
              <w:t>Gen. 31:19</w:t>
            </w:r>
          </w:p>
        </w:tc>
        <w:tc>
          <w:tcPr>
            <w:tcW w:type="dxa" w:w="3552"/>
            <w:vAlign w:val="top"/>
          </w:tcPr>
          <w:p>
            <w:pPr>
              <w:spacing w:after="0"/>
            </w:pPr>
            <w:r>
              <w:rPr>
                <w:rFonts w:ascii="Times New Roman" w:hAnsi="Times New Roman"/>
                <w:sz w:val="16"/>
              </w:rPr>
              <w:t>teraphim</w:t>
            </w:r>
          </w:p>
        </w:tc>
        <w:tc>
          <w:tcPr>
            <w:tcW w:type="dxa" w:w="3552"/>
            <w:vAlign w:val="top"/>
          </w:tcPr>
          <w:p>
            <w:pPr>
              <w:spacing w:after="0"/>
            </w:pPr>
            <w:r>
              <w:rPr>
                <w:rFonts w:ascii="Times New Roman" w:hAnsi="Times New Roman"/>
                <w:sz w:val="16"/>
              </w:rPr>
              <w:t>Household images/cult objects; inheritance-title theory kept as uncertain archaeology.</w:t>
            </w:r>
          </w:p>
        </w:tc>
      </w:tr>
      <w:tr>
        <w:tc>
          <w:tcPr>
            <w:tcW w:type="dxa" w:w="3552"/>
            <w:vAlign w:val="top"/>
          </w:tcPr>
          <w:p>
            <w:pPr>
              <w:spacing w:after="0"/>
            </w:pPr>
            <w:r>
              <w:rPr>
                <w:rFonts w:ascii="Times New Roman" w:hAnsi="Times New Roman"/>
                <w:sz w:val="16"/>
              </w:rPr>
              <w:t>Gen. 31:20</w:t>
            </w:r>
          </w:p>
        </w:tc>
        <w:tc>
          <w:tcPr>
            <w:tcW w:type="dxa" w:w="3552"/>
            <w:vAlign w:val="top"/>
          </w:tcPr>
          <w:p>
            <w:pPr>
              <w:spacing w:after="0"/>
            </w:pPr>
            <w:r>
              <w:rPr>
                <w:rFonts w:ascii="Times New Roman" w:hAnsi="Times New Roman"/>
                <w:sz w:val="16"/>
              </w:rPr>
              <w:t>“stole the heart”</w:t>
            </w:r>
          </w:p>
        </w:tc>
        <w:tc>
          <w:tcPr>
            <w:tcW w:type="dxa" w:w="3552"/>
            <w:vAlign w:val="top"/>
          </w:tcPr>
          <w:p>
            <w:pPr>
              <w:spacing w:after="0"/>
            </w:pPr>
            <w:r>
              <w:rPr>
                <w:rFonts w:ascii="Times New Roman" w:hAnsi="Times New Roman"/>
                <w:sz w:val="16"/>
              </w:rPr>
              <w:t>Literal Hebrew idiom behind “stole away unawares.”</w:t>
            </w:r>
          </w:p>
        </w:tc>
      </w:tr>
      <w:tr>
        <w:tc>
          <w:tcPr>
            <w:tcW w:type="dxa" w:w="3552"/>
            <w:vAlign w:val="top"/>
          </w:tcPr>
          <w:p>
            <w:pPr>
              <w:spacing w:after="0"/>
            </w:pPr>
            <w:r>
              <w:rPr>
                <w:rFonts w:ascii="Times New Roman" w:hAnsi="Times New Roman"/>
                <w:sz w:val="16"/>
              </w:rPr>
              <w:t>Gen. 31:24</w:t>
            </w:r>
          </w:p>
        </w:tc>
        <w:tc>
          <w:tcPr>
            <w:tcW w:type="dxa" w:w="3552"/>
            <w:vAlign w:val="top"/>
          </w:tcPr>
          <w:p>
            <w:pPr>
              <w:spacing w:after="0"/>
            </w:pPr>
            <w:r>
              <w:rPr>
                <w:rFonts w:ascii="Times New Roman" w:hAnsi="Times New Roman"/>
                <w:sz w:val="16"/>
              </w:rPr>
              <w:t>Gen. 24:50</w:t>
            </w:r>
          </w:p>
        </w:tc>
        <w:tc>
          <w:tcPr>
            <w:tcW w:type="dxa" w:w="3552"/>
            <w:vAlign w:val="top"/>
          </w:tcPr>
          <w:p>
            <w:pPr>
              <w:spacing w:after="0"/>
            </w:pPr>
            <w:r>
              <w:rPr>
                <w:rFonts w:ascii="Times New Roman" w:hAnsi="Times New Roman"/>
                <w:sz w:val="16"/>
              </w:rPr>
              <w:t>“From good to bad” is an idiom restricting interference, not a command of total silence.</w:t>
            </w:r>
          </w:p>
        </w:tc>
      </w:tr>
      <w:tr>
        <w:tc>
          <w:tcPr>
            <w:tcW w:type="dxa" w:w="3552"/>
            <w:vAlign w:val="top"/>
          </w:tcPr>
          <w:p>
            <w:pPr>
              <w:spacing w:after="0"/>
            </w:pPr>
            <w:r>
              <w:rPr>
                <w:rFonts w:ascii="Times New Roman" w:hAnsi="Times New Roman"/>
                <w:sz w:val="16"/>
              </w:rPr>
              <w:t>Gen. 31:32</w:t>
            </w:r>
          </w:p>
        </w:tc>
        <w:tc>
          <w:tcPr>
            <w:tcW w:type="dxa" w:w="3552"/>
            <w:vAlign w:val="top"/>
          </w:tcPr>
          <w:p>
            <w:pPr>
              <w:spacing w:after="0"/>
            </w:pPr>
            <w:r>
              <w:rPr>
                <w:rFonts w:ascii="Times New Roman" w:hAnsi="Times New Roman"/>
                <w:sz w:val="16"/>
              </w:rPr>
              <w:t>Jacob knew not</w:t>
            </w:r>
          </w:p>
        </w:tc>
        <w:tc>
          <w:tcPr>
            <w:tcW w:type="dxa" w:w="3552"/>
            <w:vAlign w:val="top"/>
          </w:tcPr>
          <w:p>
            <w:pPr>
              <w:spacing w:after="0"/>
            </w:pPr>
            <w:r>
              <w:rPr>
                <w:rFonts w:ascii="Times New Roman" w:hAnsi="Times New Roman"/>
                <w:sz w:val="16"/>
              </w:rPr>
              <w:t>Confirms rash death declaration was made without knowledge of Rachel’s theft.</w:t>
            </w:r>
          </w:p>
        </w:tc>
      </w:tr>
      <w:tr>
        <w:tc>
          <w:tcPr>
            <w:tcW w:type="dxa" w:w="3552"/>
            <w:vAlign w:val="top"/>
          </w:tcPr>
          <w:p>
            <w:pPr>
              <w:spacing w:after="0"/>
            </w:pPr>
            <w:r>
              <w:rPr>
                <w:rFonts w:ascii="Times New Roman" w:hAnsi="Times New Roman"/>
                <w:sz w:val="16"/>
              </w:rPr>
              <w:t>Gen. 31:35</w:t>
            </w:r>
          </w:p>
        </w:tc>
        <w:tc>
          <w:tcPr>
            <w:tcW w:type="dxa" w:w="3552"/>
            <w:vAlign w:val="top"/>
          </w:tcPr>
          <w:p>
            <w:pPr>
              <w:spacing w:after="0"/>
            </w:pPr>
            <w:r>
              <w:rPr>
                <w:rFonts w:ascii="Times New Roman" w:hAnsi="Times New Roman"/>
                <w:sz w:val="16"/>
              </w:rPr>
              <w:t>“custom of women”</w:t>
            </w:r>
          </w:p>
        </w:tc>
        <w:tc>
          <w:tcPr>
            <w:tcW w:type="dxa" w:w="3552"/>
            <w:vAlign w:val="top"/>
          </w:tcPr>
          <w:p>
            <w:pPr>
              <w:spacing w:after="0"/>
            </w:pPr>
            <w:r>
              <w:rPr>
                <w:rFonts w:ascii="Times New Roman" w:hAnsi="Times New Roman"/>
                <w:sz w:val="16"/>
              </w:rPr>
              <w:t>Menstrual reference; concealment recorded without endorsement.</w:t>
            </w:r>
          </w:p>
        </w:tc>
      </w:tr>
      <w:tr>
        <w:tc>
          <w:tcPr>
            <w:tcW w:type="dxa" w:w="3552"/>
            <w:vAlign w:val="top"/>
          </w:tcPr>
          <w:p>
            <w:pPr>
              <w:spacing w:after="0"/>
            </w:pPr>
            <w:r>
              <w:rPr>
                <w:rFonts w:ascii="Times New Roman" w:hAnsi="Times New Roman"/>
                <w:sz w:val="16"/>
              </w:rPr>
              <w:t>Gen. 31:38–41</w:t>
            </w:r>
          </w:p>
        </w:tc>
        <w:tc>
          <w:tcPr>
            <w:tcW w:type="dxa" w:w="3552"/>
            <w:vAlign w:val="top"/>
          </w:tcPr>
          <w:p>
            <w:pPr>
              <w:spacing w:after="0"/>
            </w:pPr>
            <w:r>
              <w:rPr>
                <w:rFonts w:ascii="Times New Roman" w:hAnsi="Times New Roman"/>
                <w:sz w:val="16"/>
              </w:rPr>
              <w:t>14 + 6 = 20 years</w:t>
            </w:r>
          </w:p>
        </w:tc>
        <w:tc>
          <w:tcPr>
            <w:tcW w:type="dxa" w:w="3552"/>
            <w:vAlign w:val="top"/>
          </w:tcPr>
          <w:p>
            <w:pPr>
              <w:spacing w:after="0"/>
            </w:pPr>
            <w:r>
              <w:rPr>
                <w:rFonts w:ascii="Times New Roman" w:hAnsi="Times New Roman"/>
                <w:sz w:val="16"/>
              </w:rPr>
              <w:t>Corrects Mansfield’s published forty-year speculation; verse 41 explicitly defines the total.</w:t>
            </w:r>
          </w:p>
        </w:tc>
      </w:tr>
      <w:tr>
        <w:tc>
          <w:tcPr>
            <w:tcW w:type="dxa" w:w="3552"/>
            <w:vAlign w:val="top"/>
          </w:tcPr>
          <w:p>
            <w:pPr>
              <w:spacing w:after="0"/>
            </w:pPr>
            <w:r>
              <w:rPr>
                <w:rFonts w:ascii="Times New Roman" w:hAnsi="Times New Roman"/>
                <w:sz w:val="16"/>
              </w:rPr>
              <w:t>Gen. 31:42</w:t>
            </w:r>
          </w:p>
        </w:tc>
        <w:tc>
          <w:tcPr>
            <w:tcW w:type="dxa" w:w="3552"/>
            <w:vAlign w:val="top"/>
          </w:tcPr>
          <w:p>
            <w:pPr>
              <w:spacing w:after="0"/>
            </w:pPr>
            <w:r>
              <w:rPr>
                <w:rFonts w:ascii="Times New Roman" w:hAnsi="Times New Roman"/>
                <w:sz w:val="16"/>
              </w:rPr>
              <w:t>pachad / Fear of Isaac</w:t>
            </w:r>
          </w:p>
        </w:tc>
        <w:tc>
          <w:tcPr>
            <w:tcW w:type="dxa" w:w="3552"/>
            <w:vAlign w:val="top"/>
          </w:tcPr>
          <w:p>
            <w:pPr>
              <w:spacing w:after="0"/>
            </w:pPr>
            <w:r>
              <w:rPr>
                <w:rFonts w:ascii="Times New Roman" w:hAnsi="Times New Roman"/>
                <w:sz w:val="16"/>
              </w:rPr>
              <w:t>Fear/dread/reverential awe as distinctive designation.</w:t>
            </w:r>
          </w:p>
        </w:tc>
      </w:tr>
      <w:tr>
        <w:tc>
          <w:tcPr>
            <w:tcW w:type="dxa" w:w="3552"/>
            <w:vAlign w:val="top"/>
          </w:tcPr>
          <w:p>
            <w:pPr>
              <w:spacing w:after="0"/>
            </w:pPr>
            <w:r>
              <w:rPr>
                <w:rFonts w:ascii="Times New Roman" w:hAnsi="Times New Roman"/>
                <w:sz w:val="16"/>
              </w:rPr>
              <w:t>Gen. 31:47</w:t>
            </w:r>
          </w:p>
        </w:tc>
        <w:tc>
          <w:tcPr>
            <w:tcW w:type="dxa" w:w="3552"/>
            <w:vAlign w:val="top"/>
          </w:tcPr>
          <w:p>
            <w:pPr>
              <w:spacing w:after="0"/>
            </w:pPr>
            <w:r>
              <w:rPr>
                <w:rFonts w:ascii="Times New Roman" w:hAnsi="Times New Roman"/>
                <w:sz w:val="16"/>
              </w:rPr>
              <w:t>Jegar-sahadutha / Galeed</w:t>
            </w:r>
          </w:p>
        </w:tc>
        <w:tc>
          <w:tcPr>
            <w:tcW w:type="dxa" w:w="3552"/>
            <w:vAlign w:val="top"/>
          </w:tcPr>
          <w:p>
            <w:pPr>
              <w:spacing w:after="0"/>
            </w:pPr>
            <w:r>
              <w:rPr>
                <w:rFonts w:ascii="Times New Roman" w:hAnsi="Times New Roman"/>
                <w:sz w:val="16"/>
              </w:rPr>
              <w:t>Aramaic and Hebrew forms both mean “heap of witness.”</w:t>
            </w:r>
          </w:p>
        </w:tc>
      </w:tr>
      <w:tr>
        <w:tc>
          <w:tcPr>
            <w:tcW w:type="dxa" w:w="3552"/>
            <w:vAlign w:val="top"/>
          </w:tcPr>
          <w:p>
            <w:pPr>
              <w:spacing w:after="0"/>
            </w:pPr>
            <w:r>
              <w:rPr>
                <w:rFonts w:ascii="Times New Roman" w:hAnsi="Times New Roman"/>
                <w:sz w:val="16"/>
              </w:rPr>
              <w:t>Gen. 31:49</w:t>
            </w:r>
          </w:p>
        </w:tc>
        <w:tc>
          <w:tcPr>
            <w:tcW w:type="dxa" w:w="3552"/>
            <w:vAlign w:val="top"/>
          </w:tcPr>
          <w:p>
            <w:pPr>
              <w:spacing w:after="0"/>
            </w:pPr>
            <w:r>
              <w:rPr>
                <w:rFonts w:ascii="Times New Roman" w:hAnsi="Times New Roman"/>
                <w:sz w:val="16"/>
              </w:rPr>
              <w:t>Mizpah</w:t>
            </w:r>
          </w:p>
        </w:tc>
        <w:tc>
          <w:tcPr>
            <w:tcW w:type="dxa" w:w="3552"/>
            <w:vAlign w:val="top"/>
          </w:tcPr>
          <w:p>
            <w:pPr>
              <w:spacing w:after="0"/>
            </w:pPr>
            <w:r>
              <w:rPr>
                <w:rFonts w:ascii="Times New Roman" w:hAnsi="Times New Roman"/>
                <w:sz w:val="16"/>
              </w:rPr>
              <w:t>Watch-post/watchtower; context is mutual guarding/distrust.</w:t>
            </w:r>
          </w:p>
        </w:tc>
      </w:tr>
    </w:tbl>
    <w:p>
      <w:pPr>
        <w:pStyle w:val="Heading1"/>
      </w:pPr>
      <w:r>
        <w:t>RESIDUAL UNCERTAINTIES</w:t>
      </w:r>
    </w:p>
    <w:p>
      <w:pPr/>
      <w:r>
        <w:rPr>
          <w:i w:val="0"/>
        </w:rPr>
        <w:t>The precise legal significance of teraphim at Nuzi and whether Rachel stole them in order to secure an inheritance claim remain uncertain and should not be asserted as the meaning of Genesis 31. Mansfield’s typological applications of Laban, the heap and the languages are retained only as exposition. His forty-year reconstruction has not been retained because Genesis 31:41 explicitly totals Jacob’s service as fourteen years plus six years = twenty years.</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4"/>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8" w:after="24"/>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