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32</w:t>
      </w:r>
    </w:p>
    <w:p>
      <w:pPr>
        <w:pStyle w:val="Subtitle"/>
      </w:pPr>
      <w:r>
        <w:t>MAHANAIM • FEAR AND PRAYER • GIFTS TO ESAU • THE NIGHT WRESTLING • JACOB BECOMES ISRAEL</w:t>
      </w:r>
    </w:p>
    <w:p>
      <w:pPr/>
      <w:r>
        <w:rPr>
          <w:i/>
        </w:rPr>
        <w:t>H. P. Mansfield Bible notes — checked and arranged in verse-by-verse Expositor style</w:t>
      </w:r>
    </w:p>
    <w:p>
      <w:pPr/>
      <w:r>
        <w:rPr>
          <w:i w:val="0"/>
        </w:rPr>
        <w:t>Source: HPB 01-Gen01-Gen41.PDF, principally Genesis 32 photographed pages 86–87</w:t>
      </w:r>
    </w:p>
    <w:p>
      <w:pPr>
        <w:pStyle w:val="Heading1"/>
      </w:pPr>
      <w:r>
        <w:t>CHAPTER OVERVIEW</w:t>
      </w:r>
    </w:p>
    <w:p>
      <w:pPr/>
      <w:r>
        <w:rPr>
          <w:i w:val="0"/>
        </w:rPr>
        <w:t>Genesis 32 is Mansfield’s great transition “from Jacob to Israel.” Jacob has escaped Laban and is returning in obedience to Yahweh, but the prospect of meeting Esau exposes how much fear and self-reliance remain. Angelic encouragement at Mahanaim is followed by careful strategy, then by one of Jacob’s finest prayers, and finally by the solitary night at Peniel in which his natural strength is disabled and his name is changed.</w:t>
      </w:r>
    </w:p>
    <w:p>
      <w:pPr/>
      <w:r>
        <w:rPr>
          <w:i w:val="0"/>
        </w:rPr>
        <w:t>The chapter should not be simplified into a contrast between faith and action. Jacob’s division of the camp and gifts to Esau are prudent measures; the deeper issue is where ultimate confidence rests. By the end of the night Jacob is no longer merely the supplanter who secures advantage by ingenuity: he clings for Divine blessing and goes forward wounded but strengthened in faith.</w:t>
      </w:r>
    </w:p>
    <w:p>
      <w:pPr>
        <w:pStyle w:val="Heading1"/>
      </w:pPr>
      <w:r>
        <w:t>ANGELIC ENCOURAGEMENT AT MAHANAIM — GENESIS 32:1–2</w:t>
      </w:r>
    </w:p>
    <w:p>
      <w:pPr>
        <w:pStyle w:val="Heading2"/>
      </w:pPr>
      <w:r>
        <w:t>Genesis 32:1 — “the angels of God met him”</w:t>
      </w:r>
    </w:p>
    <w:p>
      <w:pPr/>
      <w:r>
        <w:rPr>
          <w:i w:val="0"/>
        </w:rPr>
        <w:t>As Jacob continues toward Canaan, “the angels of God met him.” The Hebrew mal’akhim means messengers and is the same basic word used for Jacob’s human messengers in verse 3. The juxtaposition is deliberate: God first provides His messengers before Jacob sends his own. Hebrews 1:14 gives the wider principle of angels as ministering spirits for the heirs of salvation.</w:t>
      </w:r>
    </w:p>
    <w:p>
      <w:pPr>
        <w:pStyle w:val="Heading2"/>
      </w:pPr>
      <w:r>
        <w:t>Genesis 32:2 — Mahanaim: two camps</w:t>
      </w:r>
    </w:p>
    <w:p>
      <w:pPr/>
      <w:r>
        <w:rPr>
          <w:i w:val="0"/>
        </w:rPr>
        <w:t>Jacob calls the place Mahanaim. The name is the dual form related to machaneh, camp or host, and naturally means “two camps.” Mansfield understands these as Jacob’s earthly company and the heavenly host which has appeared to encourage him. Psalm 34:7 provides a fitting parallel: the angel of Yahweh encamps around those who fear Him.</w:t>
      </w:r>
    </w:p>
    <w:p>
      <w:pPr>
        <w:pStyle w:val="Heading1"/>
      </w:pPr>
      <w:r>
        <w:t>MESSENGERS TO ESAU — GENESIS 32:3–8</w:t>
      </w:r>
    </w:p>
    <w:p>
      <w:pPr>
        <w:pStyle w:val="Heading2"/>
      </w:pPr>
      <w:r>
        <w:t>Genesis 32:3–5 — diplomacy shaped by fear</w:t>
      </w:r>
    </w:p>
    <w:p>
      <w:pPr/>
      <w:r>
        <w:rPr>
          <w:i w:val="0"/>
        </w:rPr>
        <w:t>Jacob sends messengers to Esau in Seir, the country of Edom. He repeatedly calls Esau “my lord” and himself “thy servant,” and carefully reports his wealth so that Esau need not fear a claim on his possessions. “That I may find grace in thy sight” shows that Jacob is seeking reconciliation and favour after the wrongs of the past.</w:t>
      </w:r>
    </w:p>
    <w:p>
      <w:pPr>
        <w:pStyle w:val="Heading2"/>
      </w:pPr>
      <w:r>
        <w:t>Genesis 32:6–8 — four hundred men and two companies</w:t>
      </w:r>
    </w:p>
    <w:p>
      <w:pPr/>
      <w:r>
        <w:rPr>
          <w:i w:val="0"/>
        </w:rPr>
        <w:t>The messengers return without a reassuring answer: Esau is coming with four hundred men. Jacob becomes “greatly afraid and distressed.” The Hebrew behind “distressed” carries the sense of being narrowed or pressed in, as though options are closing. He divides the people and possessions into two camps so that one may escape if the other is struck.</w:t>
      </w:r>
    </w:p>
    <w:p>
      <w:pPr/>
      <w:r>
        <w:rPr>
          <w:i w:val="0"/>
        </w:rPr>
        <w:t>Mansfield correctly resists treating this planning as unbelief in itself. Faith does not forbid prudent action. The problem would be to rest in human arrangements alone; Jacob therefore turns immediately to prayer.</w:t>
      </w:r>
    </w:p>
    <w:p>
      <w:pPr>
        <w:pStyle w:val="Heading1"/>
      </w:pPr>
      <w:r>
        <w:t>JACOB’S PRAYER — GENESIS 32:9–12</w:t>
      </w:r>
    </w:p>
    <w:p>
      <w:pPr>
        <w:pStyle w:val="Heading2"/>
      </w:pPr>
      <w:r>
        <w:t>Genesis 32:9 — covenant and obedience</w:t>
      </w:r>
    </w:p>
    <w:p>
      <w:pPr/>
      <w:r>
        <w:rPr>
          <w:i w:val="0"/>
        </w:rPr>
        <w:t>Jacob addresses the God of Abraham and Isaac and appeals to the command which has brought him homeward: “Return unto thy country ... and I will deal well with thee.” His prayer therefore begins with God’s revealed purpose rather than with his own merit.</w:t>
      </w:r>
    </w:p>
    <w:p>
      <w:pPr>
        <w:pStyle w:val="Heading2"/>
      </w:pPr>
      <w:r>
        <w:t>Genesis 32:10 — “not worthy of the least”</w:t>
      </w:r>
    </w:p>
    <w:p>
      <w:pPr/>
      <w:r>
        <w:rPr>
          <w:i w:val="0"/>
        </w:rPr>
        <w:t>Jacob confesses, “I am not worthy of the least of all the mercies, and of all the truth.” The plural chasadim refers to acts of lovingkindness or covenant favour; emeth here carries the sense of faithfulness or reliability. Jacob looks back from the man who crossed Jordan with only his staff to one who has become “two bands,” and recognises the increase as Divine goodness.</w:t>
      </w:r>
    </w:p>
    <w:p>
      <w:pPr>
        <w:pStyle w:val="Heading2"/>
      </w:pPr>
      <w:r>
        <w:t>Genesis 32:11–12 — fear named honestly, promise pleaded</w:t>
      </w:r>
    </w:p>
    <w:p>
      <w:pPr/>
      <w:r>
        <w:rPr>
          <w:i w:val="0"/>
        </w:rPr>
        <w:t>“Deliver me, I pray thee, from the hand of my brother, from the hand of Esau” is unusually direct. Jacob neither disguises his fear nor lets fear have the last word. He fears that Esau will strike “the mother with the children,” a vivid Hebrew picture of mothers over their children. He then anchors the request in the promise that his seed will become as the sand of the sea.</w:t>
      </w:r>
    </w:p>
    <w:p>
      <w:pPr/>
      <w:r>
        <w:rPr>
          <w:i w:val="0"/>
        </w:rPr>
        <w:t>The prayer is markedly more mature than the vow at Bethel: invocation, thanksgiving, confession of unworthiness, specific petition and appeal to God’s faithfulness are all present.</w:t>
      </w:r>
    </w:p>
    <w:p>
      <w:pPr>
        <w:pStyle w:val="Heading1"/>
      </w:pPr>
      <w:r>
        <w:t>GIFTS OF RECONCILIATION — GENESIS 32:13–23</w:t>
      </w:r>
    </w:p>
    <w:p>
      <w:pPr>
        <w:pStyle w:val="Heading2"/>
      </w:pPr>
      <w:r>
        <w:t>Genesis 32:13–16 — the present sent ahead</w:t>
      </w:r>
    </w:p>
    <w:p>
      <w:pPr/>
      <w:r>
        <w:rPr>
          <w:i w:val="0"/>
        </w:rPr>
        <w:t>Jacob selects a very large minchah — a gift or present, a word also used elsewhere for offerings — from his flocks and herds. The animals are divided into successive droves with space between them so that Esau repeatedly encounters evidence of Jacob’s desire for peace.</w:t>
      </w:r>
    </w:p>
    <w:p>
      <w:pPr>
        <w:pStyle w:val="Heading2"/>
      </w:pPr>
      <w:r>
        <w:t>Genesis 32:17–20 — “I will appease him”</w:t>
      </w:r>
    </w:p>
    <w:p>
      <w:pPr/>
      <w:r>
        <w:rPr>
          <w:i w:val="0"/>
        </w:rPr>
        <w:t>Each servant is instructed to say that the animals belong to “thy servant Jacob” and are a present to “my lord Esau.” In verse 20 Jacob’s internal reasoning uses the expression kaphar panim, literally to cover the face: “I will appease him.” The idea is that the gift will cover past offence and turn an angry face toward reconciliation.</w:t>
      </w:r>
    </w:p>
    <w:p>
      <w:pPr/>
      <w:r>
        <w:rPr>
          <w:i w:val="0"/>
        </w:rPr>
        <w:t>Jacob then says he will see Esau’s face and hopes Esau will “accept” him. The Hebrew idiom is to “lift the face,” an expression of favourable acceptance. Mansfield rightly notices the repeated face-language, which prepares for Peniel, where Jacob will speak not of Esau’s face but of the face of God.</w:t>
      </w:r>
    </w:p>
    <w:p>
      <w:pPr>
        <w:pStyle w:val="Heading2"/>
      </w:pPr>
      <w:r>
        <w:t>Genesis 32:21–23 — supports progressively removed</w:t>
      </w:r>
    </w:p>
    <w:p>
      <w:pPr/>
      <w:r>
        <w:rPr>
          <w:i w:val="0"/>
        </w:rPr>
        <w:t>The present passes ahead. During the night Jacob sends his wives, maidservants, eleven sons and possessions across the Jabbok. The Jabbok is a wadi or torrent valley east of Jordan. Mansfield connects the river-name with the wrestling verb used in the next verse; that wordplay is suggestive but uncertain and should not be treated as a settled etymology.</w:t>
      </w:r>
    </w:p>
    <w:p>
      <w:pPr>
        <w:pStyle w:val="Heading1"/>
      </w:pPr>
      <w:r>
        <w:t>THE NIGHT AT PENIEL — GENESIS 32:24–32</w:t>
      </w:r>
    </w:p>
    <w:p>
      <w:pPr>
        <w:pStyle w:val="Heading2"/>
      </w:pPr>
      <w:r>
        <w:t>Genesis 32:24 — Jacob left alone</w:t>
      </w:r>
    </w:p>
    <w:p>
      <w:pPr/>
      <w:r>
        <w:rPr>
          <w:i w:val="0"/>
        </w:rPr>
        <w:t>“Jacob was left alone; and there wrestled a man with him until the breaking of the day.” Hosea 12:3–4 is the inspired interpretive key: Jacob “had power over the angel, and prevailed; he wept, and made supplication unto him.” The opponent is therefore an angelic manifestation, though Genesis describes him as a man (ish) and allows Jacob to speak of seeing God.</w:t>
      </w:r>
    </w:p>
    <w:p>
      <w:pPr/>
      <w:r>
        <w:rPr>
          <w:i w:val="0"/>
        </w:rPr>
        <w:t>The Hebrew verb ’abaq means to wrestle or grapple. Older exposition sometimes derives it from “dust,” imagining dust raised by the struggle; that association is possible but not necessary to the meaning and is kept secondary.</w:t>
      </w:r>
    </w:p>
    <w:p>
      <w:pPr>
        <w:pStyle w:val="Heading2"/>
      </w:pPr>
      <w:r>
        <w:t>Genesis 32:25 — natural strength disabled</w:t>
      </w:r>
    </w:p>
    <w:p>
      <w:pPr/>
      <w:r>
        <w:rPr>
          <w:i w:val="0"/>
        </w:rPr>
        <w:t>The angel touches the socket of Jacob’s thigh and puts it out of joint. The effortless touch makes clear that the angel was never physically overpowered. Jacob’s “prevailing” is the persistence of faith, prayer and clinging, not superior bodily power. At the very point he is learning spiritual strength, his natural strength is made permanently insufficient.</w:t>
      </w:r>
    </w:p>
    <w:p>
      <w:pPr>
        <w:pStyle w:val="Heading2"/>
      </w:pPr>
      <w:r>
        <w:t>Genesis 32:26 — “except thou bless me”</w:t>
      </w:r>
    </w:p>
    <w:p>
      <w:pPr/>
      <w:r>
        <w:rPr>
          <w:i w:val="0"/>
        </w:rPr>
        <w:t>Even injured, Jacob refuses to release the angel: “I will not let thee go, except thou bless me.” Hosea’s addition that he wept and made supplication shows the real nature of the struggle. The grasping energy which once sought advantage through human craft has been redirected into dependence on God.</w:t>
      </w:r>
    </w:p>
    <w:p>
      <w:pPr>
        <w:pStyle w:val="Heading2"/>
      </w:pPr>
      <w:r>
        <w:t>Genesis 32:27–28 — Jacob becomes Israel</w:t>
      </w:r>
    </w:p>
    <w:p>
      <w:pPr/>
      <w:r>
        <w:rPr>
          <w:i w:val="0"/>
        </w:rPr>
        <w:t>The angel asks, “What is thy name?” Jacob must answer with the name associated throughout the narrative with heel-catching and supplanting. He is then told, “Thy name shall be called no more Jacob, but Israel.” The later text still uses both names, and Genesis 35:10 confirms the new name again; “no more Jacob” therefore means that Jacob is no longer to be defined exclusively by the old identity.</w:t>
      </w:r>
    </w:p>
    <w:p>
      <w:pPr/>
      <w:r>
        <w:rPr>
          <w:i w:val="0"/>
        </w:rPr>
        <w:t>Israel (Yisra’el) is explained in the verse through the verb sarah: to strive, contend or exercise princely power, with El/God. The KJV renders, “as a prince hast thou power with God and with men, and hast prevailed”; the RV more directly, “thou hast striven with God and with men.” Mansfield’s fuller composite derivations are ingenious but should be treated as exposition rather than certain lexical parsing.</w:t>
      </w:r>
    </w:p>
    <w:p>
      <w:pPr>
        <w:pStyle w:val="Heading2"/>
      </w:pPr>
      <w:r>
        <w:t>Genesis 32:29 — the name withheld; the blessing given</w:t>
      </w:r>
    </w:p>
    <w:p>
      <w:pPr/>
      <w:r>
        <w:rPr>
          <w:i w:val="0"/>
        </w:rPr>
        <w:t>Jacob asks the angel’s name and receives instead the question, “Wherefore is it that thou dost ask after my name?” He is then blessed. The episode does not mean that Jacob has literally seen the invisible God in His essential being; Hosea identifies the wrestler as an angel, acting as the representative manifestation of God.</w:t>
      </w:r>
    </w:p>
    <w:p>
      <w:pPr>
        <w:pStyle w:val="Heading2"/>
      </w:pPr>
      <w:r>
        <w:t>Genesis 32:30 — Peniel: face of God</w:t>
      </w:r>
    </w:p>
    <w:p>
      <w:pPr/>
      <w:r>
        <w:rPr>
          <w:i w:val="0"/>
        </w:rPr>
        <w:t>Jacob names the place Peniel (also Penuel), “face of El/God,” saying, “I have seen God face to face, and my life is preserved.” The language is fully consistent with representative angelic manifestation, as elsewhere an angel can bear and communicate the Divine presence and authority.</w:t>
      </w:r>
    </w:p>
    <w:p>
      <w:pPr>
        <w:pStyle w:val="Heading2"/>
      </w:pPr>
      <w:r>
        <w:t>Genesis 32:31–32 — the sunrise and the limp</w:t>
      </w:r>
    </w:p>
    <w:p>
      <w:pPr/>
      <w:r>
        <w:rPr>
          <w:i w:val="0"/>
        </w:rPr>
        <w:t>As Jacob passes Penuel, the sun rises and “he halted upon his thigh.” The Hebrew verb indicates limping. The contrast is deliberate: a new dawn accompanies a new name, but Israel enters it physically weakened. The limp becomes a lifelong memorial that prevailing with God was learned through dependence rather than self-sufficiency.</w:t>
      </w:r>
    </w:p>
    <w:p>
      <w:pPr/>
      <w:r>
        <w:rPr>
          <w:i w:val="0"/>
        </w:rPr>
        <w:t>Verse 32 explains the Israelite custom of not eating the “sinew which shrank” upon the thigh. The Hebrew gid hannasheh is traditionally associated with the sciatic region, though exact anatomical identification is not necessary to the narrative.</w:t>
      </w:r>
    </w:p>
    <w:p>
      <w:pPr>
        <w:pStyle w:val="Heading1"/>
      </w:pPr>
      <w:r>
        <w:t>PRINCIPAL THEMES</w:t>
      </w:r>
    </w:p>
    <w:p>
      <w:pPr>
        <w:ind w:left="259" w:hanging="202"/>
      </w:pPr>
      <w:r>
        <w:rPr>
          <w:b/>
        </w:rPr>
        <w:t xml:space="preserve">• </w:t>
      </w:r>
      <w:r>
        <w:t>Angelic encouragement is given before Jacob faces the crisis with Esau.</w:t>
      </w:r>
    </w:p>
    <w:p>
      <w:pPr>
        <w:ind w:left="259" w:hanging="202"/>
      </w:pPr>
      <w:r>
        <w:rPr>
          <w:b/>
        </w:rPr>
        <w:t xml:space="preserve">• </w:t>
      </w:r>
      <w:r>
        <w:t>Prudent preparation is not condemned, but ultimate confidence must rest in God.</w:t>
      </w:r>
    </w:p>
    <w:p>
      <w:pPr>
        <w:ind w:left="259" w:hanging="202"/>
      </w:pPr>
      <w:r>
        <w:rPr>
          <w:b/>
        </w:rPr>
        <w:t xml:space="preserve">• </w:t>
      </w:r>
      <w:r>
        <w:t>Jacob’s prayer combines covenant, humility, thanksgiving, fear and specific petition.</w:t>
      </w:r>
    </w:p>
    <w:p>
      <w:pPr>
        <w:ind w:left="259" w:hanging="202"/>
      </w:pPr>
      <w:r>
        <w:rPr>
          <w:b/>
        </w:rPr>
        <w:t xml:space="preserve">• </w:t>
      </w:r>
      <w:r>
        <w:t>Reconciliation with Esau is sought through deliberate gifts and self-humbling.</w:t>
      </w:r>
    </w:p>
    <w:p>
      <w:pPr>
        <w:ind w:left="259" w:hanging="202"/>
      </w:pPr>
      <w:r>
        <w:rPr>
          <w:b/>
        </w:rPr>
        <w:t xml:space="preserve">• </w:t>
      </w:r>
      <w:r>
        <w:t>Jacob is progressively stripped of supports until he is left alone with God’s messenger.</w:t>
      </w:r>
    </w:p>
    <w:p>
      <w:pPr>
        <w:ind w:left="259" w:hanging="202"/>
      </w:pPr>
      <w:r>
        <w:rPr>
          <w:b/>
        </w:rPr>
        <w:t xml:space="preserve">• </w:t>
      </w:r>
      <w:r>
        <w:t>The supplanter becomes Israel: striving faith replaces self-reliant grasping.</w:t>
      </w:r>
    </w:p>
    <w:p>
      <w:pPr>
        <w:ind w:left="259" w:hanging="202"/>
      </w:pPr>
      <w:r>
        <w:rPr>
          <w:b/>
        </w:rPr>
        <w:t xml:space="preserve">• </w:t>
      </w:r>
      <w:r>
        <w:t>The permanent limp teaches that spiritual prevailing can coexist with natural weakness.</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32:1–2</w:t>
            </w:r>
          </w:p>
        </w:tc>
        <w:tc>
          <w:tcPr>
            <w:tcW w:type="dxa" w:w="3552"/>
            <w:vAlign w:val="top"/>
          </w:tcPr>
          <w:p>
            <w:pPr>
              <w:spacing w:after="0"/>
            </w:pPr>
            <w:r>
              <w:rPr>
                <w:rFonts w:ascii="Times New Roman" w:hAnsi="Times New Roman"/>
                <w:sz w:val="15"/>
              </w:rPr>
              <w:t>mal’akh / machaneh / Mahanaim</w:t>
            </w:r>
          </w:p>
        </w:tc>
        <w:tc>
          <w:tcPr>
            <w:tcW w:type="dxa" w:w="3552"/>
            <w:vAlign w:val="top"/>
          </w:tcPr>
          <w:p>
            <w:pPr>
              <w:spacing w:after="0"/>
            </w:pPr>
            <w:r>
              <w:rPr>
                <w:rFonts w:ascii="Times New Roman" w:hAnsi="Times New Roman"/>
                <w:sz w:val="15"/>
              </w:rPr>
              <w:t>Messengers; camp/host; dual form gives “two camps.”</w:t>
            </w:r>
          </w:p>
        </w:tc>
      </w:tr>
      <w:tr>
        <w:tc>
          <w:tcPr>
            <w:tcW w:type="dxa" w:w="3552"/>
            <w:vAlign w:val="top"/>
          </w:tcPr>
          <w:p>
            <w:pPr>
              <w:spacing w:after="0"/>
            </w:pPr>
            <w:r>
              <w:rPr>
                <w:rFonts w:ascii="Times New Roman" w:hAnsi="Times New Roman"/>
                <w:sz w:val="15"/>
              </w:rPr>
              <w:t>Gen. 32:7</w:t>
            </w:r>
          </w:p>
        </w:tc>
        <w:tc>
          <w:tcPr>
            <w:tcW w:type="dxa" w:w="3552"/>
            <w:vAlign w:val="top"/>
          </w:tcPr>
          <w:p>
            <w:pPr>
              <w:spacing w:after="0"/>
            </w:pPr>
            <w:r>
              <w:rPr>
                <w:rFonts w:ascii="Times New Roman" w:hAnsi="Times New Roman"/>
                <w:sz w:val="15"/>
              </w:rPr>
              <w:t>distressed = narrowed/pressed</w:t>
            </w:r>
          </w:p>
        </w:tc>
        <w:tc>
          <w:tcPr>
            <w:tcW w:type="dxa" w:w="3552"/>
            <w:vAlign w:val="top"/>
          </w:tcPr>
          <w:p>
            <w:pPr>
              <w:spacing w:after="0"/>
            </w:pPr>
            <w:r>
              <w:rPr>
                <w:rFonts w:ascii="Times New Roman" w:hAnsi="Times New Roman"/>
                <w:sz w:val="15"/>
              </w:rPr>
              <w:t>Recovers the force of Jacob feeling hemmed in by the crisis.</w:t>
            </w:r>
          </w:p>
        </w:tc>
      </w:tr>
      <w:tr>
        <w:tc>
          <w:tcPr>
            <w:tcW w:type="dxa" w:w="3552"/>
            <w:vAlign w:val="top"/>
          </w:tcPr>
          <w:p>
            <w:pPr>
              <w:spacing w:after="0"/>
            </w:pPr>
            <w:r>
              <w:rPr>
                <w:rFonts w:ascii="Times New Roman" w:hAnsi="Times New Roman"/>
                <w:sz w:val="15"/>
              </w:rPr>
              <w:t>Gen. 32:10</w:t>
            </w:r>
          </w:p>
        </w:tc>
        <w:tc>
          <w:tcPr>
            <w:tcW w:type="dxa" w:w="3552"/>
            <w:vAlign w:val="top"/>
          </w:tcPr>
          <w:p>
            <w:pPr>
              <w:spacing w:after="0"/>
            </w:pPr>
            <w:r>
              <w:rPr>
                <w:rFonts w:ascii="Times New Roman" w:hAnsi="Times New Roman"/>
                <w:sz w:val="15"/>
              </w:rPr>
              <w:t>chasadim; emeth</w:t>
            </w:r>
          </w:p>
        </w:tc>
        <w:tc>
          <w:tcPr>
            <w:tcW w:type="dxa" w:w="3552"/>
            <w:vAlign w:val="top"/>
          </w:tcPr>
          <w:p>
            <w:pPr>
              <w:spacing w:after="0"/>
            </w:pPr>
            <w:r>
              <w:rPr>
                <w:rFonts w:ascii="Times New Roman" w:hAnsi="Times New Roman"/>
                <w:sz w:val="15"/>
              </w:rPr>
              <w:t>Lovingkindnesses/covenant favours and faithfulness, not merely abstract “truth.”</w:t>
            </w:r>
          </w:p>
        </w:tc>
      </w:tr>
      <w:tr>
        <w:tc>
          <w:tcPr>
            <w:tcW w:type="dxa" w:w="3552"/>
            <w:vAlign w:val="top"/>
          </w:tcPr>
          <w:p>
            <w:pPr>
              <w:spacing w:after="0"/>
            </w:pPr>
            <w:r>
              <w:rPr>
                <w:rFonts w:ascii="Times New Roman" w:hAnsi="Times New Roman"/>
                <w:sz w:val="15"/>
              </w:rPr>
              <w:t>Gen. 32:13</w:t>
            </w:r>
          </w:p>
        </w:tc>
        <w:tc>
          <w:tcPr>
            <w:tcW w:type="dxa" w:w="3552"/>
            <w:vAlign w:val="top"/>
          </w:tcPr>
          <w:p>
            <w:pPr>
              <w:spacing w:after="0"/>
            </w:pPr>
            <w:r>
              <w:rPr>
                <w:rFonts w:ascii="Times New Roman" w:hAnsi="Times New Roman"/>
                <w:sz w:val="15"/>
              </w:rPr>
              <w:t>minchah</w:t>
            </w:r>
          </w:p>
        </w:tc>
        <w:tc>
          <w:tcPr>
            <w:tcW w:type="dxa" w:w="3552"/>
            <w:vAlign w:val="top"/>
          </w:tcPr>
          <w:p>
            <w:pPr>
              <w:spacing w:after="0"/>
            </w:pPr>
            <w:r>
              <w:rPr>
                <w:rFonts w:ascii="Times New Roman" w:hAnsi="Times New Roman"/>
                <w:sz w:val="15"/>
              </w:rPr>
              <w:t>Gift/present; word also used for offerings in other contexts.</w:t>
            </w:r>
          </w:p>
        </w:tc>
      </w:tr>
      <w:tr>
        <w:tc>
          <w:tcPr>
            <w:tcW w:type="dxa" w:w="3552"/>
            <w:vAlign w:val="top"/>
          </w:tcPr>
          <w:p>
            <w:pPr>
              <w:spacing w:after="0"/>
            </w:pPr>
            <w:r>
              <w:rPr>
                <w:rFonts w:ascii="Times New Roman" w:hAnsi="Times New Roman"/>
                <w:sz w:val="15"/>
              </w:rPr>
              <w:t>Gen. 32:20</w:t>
            </w:r>
          </w:p>
        </w:tc>
        <w:tc>
          <w:tcPr>
            <w:tcW w:type="dxa" w:w="3552"/>
            <w:vAlign w:val="top"/>
          </w:tcPr>
          <w:p>
            <w:pPr>
              <w:spacing w:after="0"/>
            </w:pPr>
            <w:r>
              <w:rPr>
                <w:rFonts w:ascii="Times New Roman" w:hAnsi="Times New Roman"/>
                <w:sz w:val="15"/>
              </w:rPr>
              <w:t>kaphar panim</w:t>
            </w:r>
          </w:p>
        </w:tc>
        <w:tc>
          <w:tcPr>
            <w:tcW w:type="dxa" w:w="3552"/>
            <w:vAlign w:val="top"/>
          </w:tcPr>
          <w:p>
            <w:pPr>
              <w:spacing w:after="0"/>
            </w:pPr>
            <w:r>
              <w:rPr>
                <w:rFonts w:ascii="Times New Roman" w:hAnsi="Times New Roman"/>
                <w:sz w:val="15"/>
              </w:rPr>
              <w:t>Literally “cover the face”; explains KJV “appease him.”</w:t>
            </w:r>
          </w:p>
        </w:tc>
      </w:tr>
      <w:tr>
        <w:tc>
          <w:tcPr>
            <w:tcW w:type="dxa" w:w="3552"/>
            <w:vAlign w:val="top"/>
          </w:tcPr>
          <w:p>
            <w:pPr>
              <w:spacing w:after="0"/>
            </w:pPr>
            <w:r>
              <w:rPr>
                <w:rFonts w:ascii="Times New Roman" w:hAnsi="Times New Roman"/>
                <w:sz w:val="15"/>
              </w:rPr>
              <w:t>Gen. 32:20</w:t>
            </w:r>
          </w:p>
        </w:tc>
        <w:tc>
          <w:tcPr>
            <w:tcW w:type="dxa" w:w="3552"/>
            <w:vAlign w:val="top"/>
          </w:tcPr>
          <w:p>
            <w:pPr>
              <w:spacing w:after="0"/>
            </w:pPr>
            <w:r>
              <w:rPr>
                <w:rFonts w:ascii="Times New Roman" w:hAnsi="Times New Roman"/>
                <w:sz w:val="15"/>
              </w:rPr>
              <w:t>lift the face</w:t>
            </w:r>
          </w:p>
        </w:tc>
        <w:tc>
          <w:tcPr>
            <w:tcW w:type="dxa" w:w="3552"/>
            <w:vAlign w:val="top"/>
          </w:tcPr>
          <w:p>
            <w:pPr>
              <w:spacing w:after="0"/>
            </w:pPr>
            <w:r>
              <w:rPr>
                <w:rFonts w:ascii="Times New Roman" w:hAnsi="Times New Roman"/>
                <w:sz w:val="15"/>
              </w:rPr>
              <w:t>Hebrew idiom behind favourable acceptance.</w:t>
            </w:r>
          </w:p>
        </w:tc>
      </w:tr>
      <w:tr>
        <w:tc>
          <w:tcPr>
            <w:tcW w:type="dxa" w:w="3552"/>
            <w:vAlign w:val="top"/>
          </w:tcPr>
          <w:p>
            <w:pPr>
              <w:spacing w:after="0"/>
            </w:pPr>
            <w:r>
              <w:rPr>
                <w:rFonts w:ascii="Times New Roman" w:hAnsi="Times New Roman"/>
                <w:sz w:val="15"/>
              </w:rPr>
              <w:t>Gen. 32:22–23</w:t>
            </w:r>
          </w:p>
        </w:tc>
        <w:tc>
          <w:tcPr>
            <w:tcW w:type="dxa" w:w="3552"/>
            <w:vAlign w:val="top"/>
          </w:tcPr>
          <w:p>
            <w:pPr>
              <w:spacing w:after="0"/>
            </w:pPr>
            <w:r>
              <w:rPr>
                <w:rFonts w:ascii="Times New Roman" w:hAnsi="Times New Roman"/>
                <w:sz w:val="15"/>
              </w:rPr>
              <w:t>Jabbok</w:t>
            </w:r>
          </w:p>
        </w:tc>
        <w:tc>
          <w:tcPr>
            <w:tcW w:type="dxa" w:w="3552"/>
            <w:vAlign w:val="top"/>
          </w:tcPr>
          <w:p>
            <w:pPr>
              <w:spacing w:after="0"/>
            </w:pPr>
            <w:r>
              <w:rPr>
                <w:rFonts w:ascii="Times New Roman" w:hAnsi="Times New Roman"/>
                <w:sz w:val="15"/>
              </w:rPr>
              <w:t>Torrent/wadi; Mansfield’s link with the wrestling root kept as uncertain wordplay.</w:t>
            </w:r>
          </w:p>
        </w:tc>
      </w:tr>
      <w:tr>
        <w:tc>
          <w:tcPr>
            <w:tcW w:type="dxa" w:w="3552"/>
            <w:vAlign w:val="top"/>
          </w:tcPr>
          <w:p>
            <w:pPr>
              <w:spacing w:after="0"/>
            </w:pPr>
            <w:r>
              <w:rPr>
                <w:rFonts w:ascii="Times New Roman" w:hAnsi="Times New Roman"/>
                <w:sz w:val="15"/>
              </w:rPr>
              <w:t>Gen. 32:24</w:t>
            </w:r>
          </w:p>
        </w:tc>
        <w:tc>
          <w:tcPr>
            <w:tcW w:type="dxa" w:w="3552"/>
            <w:vAlign w:val="top"/>
          </w:tcPr>
          <w:p>
            <w:pPr>
              <w:spacing w:after="0"/>
            </w:pPr>
            <w:r>
              <w:rPr>
                <w:rFonts w:ascii="Times New Roman" w:hAnsi="Times New Roman"/>
                <w:sz w:val="15"/>
              </w:rPr>
              <w:t>’abaq; Hos. 12:3–4</w:t>
            </w:r>
          </w:p>
        </w:tc>
        <w:tc>
          <w:tcPr>
            <w:tcW w:type="dxa" w:w="3552"/>
            <w:vAlign w:val="top"/>
          </w:tcPr>
          <w:p>
            <w:pPr>
              <w:spacing w:after="0"/>
            </w:pPr>
            <w:r>
              <w:rPr>
                <w:rFonts w:ascii="Times New Roman" w:hAnsi="Times New Roman"/>
                <w:sz w:val="15"/>
              </w:rPr>
              <w:t>Wrestling verb checked; Hosea identifies the opponent as an angel.</w:t>
            </w:r>
          </w:p>
        </w:tc>
      </w:tr>
      <w:tr>
        <w:tc>
          <w:tcPr>
            <w:tcW w:type="dxa" w:w="3552"/>
            <w:vAlign w:val="top"/>
          </w:tcPr>
          <w:p>
            <w:pPr>
              <w:spacing w:after="0"/>
            </w:pPr>
            <w:r>
              <w:rPr>
                <w:rFonts w:ascii="Times New Roman" w:hAnsi="Times New Roman"/>
                <w:sz w:val="15"/>
              </w:rPr>
              <w:t>Gen. 32:25</w:t>
            </w:r>
          </w:p>
        </w:tc>
        <w:tc>
          <w:tcPr>
            <w:tcW w:type="dxa" w:w="3552"/>
            <w:vAlign w:val="top"/>
          </w:tcPr>
          <w:p>
            <w:pPr>
              <w:spacing w:after="0"/>
            </w:pPr>
            <w:r>
              <w:rPr>
                <w:rFonts w:ascii="Times New Roman" w:hAnsi="Times New Roman"/>
                <w:sz w:val="15"/>
              </w:rPr>
              <w:t>socket/hollow of thigh</w:t>
            </w:r>
          </w:p>
        </w:tc>
        <w:tc>
          <w:tcPr>
            <w:tcW w:type="dxa" w:w="3552"/>
            <w:vAlign w:val="top"/>
          </w:tcPr>
          <w:p>
            <w:pPr>
              <w:spacing w:after="0"/>
            </w:pPr>
            <w:r>
              <w:rPr>
                <w:rFonts w:ascii="Times New Roman" w:hAnsi="Times New Roman"/>
                <w:sz w:val="15"/>
              </w:rPr>
              <w:t>The disabling touch shows the angel’s effortless superiority.</w:t>
            </w:r>
          </w:p>
        </w:tc>
      </w:tr>
      <w:tr>
        <w:tc>
          <w:tcPr>
            <w:tcW w:type="dxa" w:w="3552"/>
            <w:vAlign w:val="top"/>
          </w:tcPr>
          <w:p>
            <w:pPr>
              <w:spacing w:after="0"/>
            </w:pPr>
            <w:r>
              <w:rPr>
                <w:rFonts w:ascii="Times New Roman" w:hAnsi="Times New Roman"/>
                <w:sz w:val="15"/>
              </w:rPr>
              <w:t>Gen. 32:26</w:t>
            </w:r>
          </w:p>
        </w:tc>
        <w:tc>
          <w:tcPr>
            <w:tcW w:type="dxa" w:w="3552"/>
            <w:vAlign w:val="top"/>
          </w:tcPr>
          <w:p>
            <w:pPr>
              <w:spacing w:after="0"/>
            </w:pPr>
            <w:r>
              <w:rPr>
                <w:rFonts w:ascii="Times New Roman" w:hAnsi="Times New Roman"/>
                <w:sz w:val="15"/>
              </w:rPr>
              <w:t>Hos. 12:4</w:t>
            </w:r>
          </w:p>
        </w:tc>
        <w:tc>
          <w:tcPr>
            <w:tcW w:type="dxa" w:w="3552"/>
            <w:vAlign w:val="top"/>
          </w:tcPr>
          <w:p>
            <w:pPr>
              <w:spacing w:after="0"/>
            </w:pPr>
            <w:r>
              <w:rPr>
                <w:rFonts w:ascii="Times New Roman" w:hAnsi="Times New Roman"/>
                <w:sz w:val="15"/>
              </w:rPr>
              <w:t>Adds the crucial detail that Jacob wept and made supplication.</w:t>
            </w:r>
          </w:p>
        </w:tc>
      </w:tr>
      <w:tr>
        <w:tc>
          <w:tcPr>
            <w:tcW w:type="dxa" w:w="3552"/>
            <w:vAlign w:val="top"/>
          </w:tcPr>
          <w:p>
            <w:pPr>
              <w:spacing w:after="0"/>
            </w:pPr>
            <w:r>
              <w:rPr>
                <w:rFonts w:ascii="Times New Roman" w:hAnsi="Times New Roman"/>
                <w:sz w:val="15"/>
              </w:rPr>
              <w:t>Gen. 32:28</w:t>
            </w:r>
          </w:p>
        </w:tc>
        <w:tc>
          <w:tcPr>
            <w:tcW w:type="dxa" w:w="3552"/>
            <w:vAlign w:val="top"/>
          </w:tcPr>
          <w:p>
            <w:pPr>
              <w:spacing w:after="0"/>
            </w:pPr>
            <w:r>
              <w:rPr>
                <w:rFonts w:ascii="Times New Roman" w:hAnsi="Times New Roman"/>
                <w:sz w:val="15"/>
              </w:rPr>
              <w:t>sarah + El</w:t>
            </w:r>
          </w:p>
        </w:tc>
        <w:tc>
          <w:tcPr>
            <w:tcW w:type="dxa" w:w="3552"/>
            <w:vAlign w:val="top"/>
          </w:tcPr>
          <w:p>
            <w:pPr>
              <w:spacing w:after="0"/>
            </w:pPr>
            <w:r>
              <w:rPr>
                <w:rFonts w:ascii="Times New Roman" w:hAnsi="Times New Roman"/>
                <w:sz w:val="15"/>
              </w:rPr>
              <w:t>Verse itself explains Israel through striving/prevailing with God; elaborate derivations kept qualified.</w:t>
            </w:r>
          </w:p>
        </w:tc>
      </w:tr>
      <w:tr>
        <w:tc>
          <w:tcPr>
            <w:tcW w:type="dxa" w:w="3552"/>
            <w:vAlign w:val="top"/>
          </w:tcPr>
          <w:p>
            <w:pPr>
              <w:spacing w:after="0"/>
            </w:pPr>
            <w:r>
              <w:rPr>
                <w:rFonts w:ascii="Times New Roman" w:hAnsi="Times New Roman"/>
                <w:sz w:val="15"/>
              </w:rPr>
              <w:t>Gen. 32:28</w:t>
            </w:r>
          </w:p>
        </w:tc>
        <w:tc>
          <w:tcPr>
            <w:tcW w:type="dxa" w:w="3552"/>
            <w:vAlign w:val="top"/>
          </w:tcPr>
          <w:p>
            <w:pPr>
              <w:spacing w:after="0"/>
            </w:pPr>
            <w:r>
              <w:rPr>
                <w:rFonts w:ascii="Times New Roman" w:hAnsi="Times New Roman"/>
                <w:sz w:val="15"/>
              </w:rPr>
              <w:t>Gen. 35:10</w:t>
            </w:r>
          </w:p>
        </w:tc>
        <w:tc>
          <w:tcPr>
            <w:tcW w:type="dxa" w:w="3552"/>
            <w:vAlign w:val="top"/>
          </w:tcPr>
          <w:p>
            <w:pPr>
              <w:spacing w:after="0"/>
            </w:pPr>
            <w:r>
              <w:rPr>
                <w:rFonts w:ascii="Times New Roman" w:hAnsi="Times New Roman"/>
                <w:sz w:val="15"/>
              </w:rPr>
              <w:t>Confirms later ratification of the Israel name and continued use of both names.</w:t>
            </w:r>
          </w:p>
        </w:tc>
      </w:tr>
      <w:tr>
        <w:tc>
          <w:tcPr>
            <w:tcW w:type="dxa" w:w="3552"/>
            <w:vAlign w:val="top"/>
          </w:tcPr>
          <w:p>
            <w:pPr>
              <w:spacing w:after="0"/>
            </w:pPr>
            <w:r>
              <w:rPr>
                <w:rFonts w:ascii="Times New Roman" w:hAnsi="Times New Roman"/>
                <w:sz w:val="15"/>
              </w:rPr>
              <w:t>Gen. 32:29–30</w:t>
            </w:r>
          </w:p>
        </w:tc>
        <w:tc>
          <w:tcPr>
            <w:tcW w:type="dxa" w:w="3552"/>
            <w:vAlign w:val="top"/>
          </w:tcPr>
          <w:p>
            <w:pPr>
              <w:spacing w:after="0"/>
            </w:pPr>
            <w:r>
              <w:rPr>
                <w:rFonts w:ascii="Times New Roman" w:hAnsi="Times New Roman"/>
                <w:sz w:val="15"/>
              </w:rPr>
              <w:t>Hos. 12:4</w:t>
            </w:r>
          </w:p>
        </w:tc>
        <w:tc>
          <w:tcPr>
            <w:tcW w:type="dxa" w:w="3552"/>
            <w:vAlign w:val="top"/>
          </w:tcPr>
          <w:p>
            <w:pPr>
              <w:spacing w:after="0"/>
            </w:pPr>
            <w:r>
              <w:rPr>
                <w:rFonts w:ascii="Times New Roman" w:hAnsi="Times New Roman"/>
                <w:sz w:val="15"/>
              </w:rPr>
              <w:t>Prevents literalising the episode as sight of God’s invisible essence; it is angelic manifestation.</w:t>
            </w:r>
          </w:p>
        </w:tc>
      </w:tr>
      <w:tr>
        <w:tc>
          <w:tcPr>
            <w:tcW w:type="dxa" w:w="3552"/>
            <w:vAlign w:val="top"/>
          </w:tcPr>
          <w:p>
            <w:pPr>
              <w:spacing w:after="0"/>
            </w:pPr>
            <w:r>
              <w:rPr>
                <w:rFonts w:ascii="Times New Roman" w:hAnsi="Times New Roman"/>
                <w:sz w:val="15"/>
              </w:rPr>
              <w:t>Gen. 32:30</w:t>
            </w:r>
          </w:p>
        </w:tc>
        <w:tc>
          <w:tcPr>
            <w:tcW w:type="dxa" w:w="3552"/>
            <w:vAlign w:val="top"/>
          </w:tcPr>
          <w:p>
            <w:pPr>
              <w:spacing w:after="0"/>
            </w:pPr>
            <w:r>
              <w:rPr>
                <w:rFonts w:ascii="Times New Roman" w:hAnsi="Times New Roman"/>
                <w:sz w:val="15"/>
              </w:rPr>
              <w:t>Peniel/Penuel</w:t>
            </w:r>
          </w:p>
        </w:tc>
        <w:tc>
          <w:tcPr>
            <w:tcW w:type="dxa" w:w="3552"/>
            <w:vAlign w:val="top"/>
          </w:tcPr>
          <w:p>
            <w:pPr>
              <w:spacing w:after="0"/>
            </w:pPr>
            <w:r>
              <w:rPr>
                <w:rFonts w:ascii="Times New Roman" w:hAnsi="Times New Roman"/>
                <w:sz w:val="15"/>
              </w:rPr>
              <w:t>Name means “face of El/God.”</w:t>
            </w:r>
          </w:p>
        </w:tc>
      </w:tr>
      <w:tr>
        <w:tc>
          <w:tcPr>
            <w:tcW w:type="dxa" w:w="3552"/>
            <w:vAlign w:val="top"/>
          </w:tcPr>
          <w:p>
            <w:pPr>
              <w:spacing w:after="0"/>
            </w:pPr>
            <w:r>
              <w:rPr>
                <w:rFonts w:ascii="Times New Roman" w:hAnsi="Times New Roman"/>
                <w:sz w:val="15"/>
              </w:rPr>
              <w:t>Gen. 32:31–32</w:t>
            </w:r>
          </w:p>
        </w:tc>
        <w:tc>
          <w:tcPr>
            <w:tcW w:type="dxa" w:w="3552"/>
            <w:vAlign w:val="top"/>
          </w:tcPr>
          <w:p>
            <w:pPr>
              <w:spacing w:after="0"/>
            </w:pPr>
            <w:r>
              <w:rPr>
                <w:rFonts w:ascii="Times New Roman" w:hAnsi="Times New Roman"/>
                <w:sz w:val="15"/>
              </w:rPr>
              <w:t>limp; gid hannasheh</w:t>
            </w:r>
          </w:p>
        </w:tc>
        <w:tc>
          <w:tcPr>
            <w:tcW w:type="dxa" w:w="3552"/>
            <w:vAlign w:val="top"/>
          </w:tcPr>
          <w:p>
            <w:pPr>
              <w:spacing w:after="0"/>
            </w:pPr>
            <w:r>
              <w:rPr>
                <w:rFonts w:ascii="Times New Roman" w:hAnsi="Times New Roman"/>
                <w:sz w:val="15"/>
              </w:rPr>
              <w:t>Permanent physical memorial; exact anatomical identification kept cautious.</w:t>
            </w:r>
          </w:p>
        </w:tc>
      </w:tr>
    </w:tbl>
    <w:p>
      <w:pPr>
        <w:pStyle w:val="Heading1"/>
      </w:pPr>
      <w:r>
        <w:t>RESIDUAL UNCERTAINTIES</w:t>
      </w:r>
    </w:p>
    <w:p>
      <w:pPr/>
      <w:r>
        <w:rPr>
          <w:i w:val="0"/>
        </w:rPr>
        <w:t>Mansfield’s full etymological expansion of Israel goes beyond what can be demonstrated securely from the name form and has therefore been reduced to the verse’s explicit striving/prevailing explanation. The suggested derivation of Jabbok from the same root as the wrestling verb is also uncertain. “Dust” imagery attached to ’abaq and the exact anatomy of gid hannasheh remain secondary details rather than established facts.</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4"/>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8" w:after="24"/>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