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GENESIS 33</w:t>
      </w:r>
    </w:p>
    <w:p>
      <w:pPr>
        <w:pStyle w:val="Subtitle"/>
      </w:pPr>
      <w:r>
        <w:t>BROTHERS REUNITED • RECONCILIATION • RENEWED SEPARATION • SUCCESSFUL RETURN • EL-ELOHE-ISRAEL</w:t>
      </w:r>
    </w:p>
    <w:p>
      <w:pPr/>
      <w:r>
        <w:rPr>
          <w:i/>
        </w:rPr>
        <w:t>H. P. Mansfield Bible notes — checked and arranged in verse-by-verse Expositor style</w:t>
      </w:r>
    </w:p>
    <w:p>
      <w:pPr/>
      <w:r>
        <w:rPr>
          <w:i w:val="0"/>
        </w:rPr>
        <w:t>Source: HPB 01-Gen01-Gen41.PDF, principally Genesis 33 photographed pages 87–88</w:t>
      </w:r>
    </w:p>
    <w:p>
      <w:pPr>
        <w:pStyle w:val="Heading1"/>
      </w:pPr>
      <w:r>
        <w:t>CHAPTER OVERVIEW</w:t>
      </w:r>
    </w:p>
    <w:p>
      <w:pPr/>
      <w:r>
        <w:rPr>
          <w:i w:val="0"/>
        </w:rPr>
        <w:t>Genesis 33 is the quiet answer to the terror of Genesis 32. Jacob approaches expecting possible violence, but Esau runs to meet him, embraces him and weeps. The reconciliation is real, yet it does not erase the different destinies of the brothers: Esau returns to Seir while Jacob continues into Canaan. The chapter closes at Shechem with a purchased field and an altar named El-elohe-Israel.</w:t>
      </w:r>
    </w:p>
    <w:p>
      <w:pPr/>
      <w:r>
        <w:rPr>
          <w:i w:val="0"/>
        </w:rPr>
        <w:t>Mansfield develops substantial typology from the reunion. The historical and lexical notes below preserve that layer while distinguishing it from claims that are explicit in the text. In particular, older attempts to solve the difficult Acts 7:16 burial/purchase reference by supposing an otherwise unrecorded Abrahamic purchase at Shechem are kept as possibilities rather than established fact.</w:t>
      </w:r>
    </w:p>
    <w:p>
      <w:pPr>
        <w:pStyle w:val="Heading1"/>
      </w:pPr>
      <w:r>
        <w:t>JACOB FACES ESAU — GENESIS 33:1–3</w:t>
      </w:r>
    </w:p>
    <w:p>
      <w:pPr>
        <w:pStyle w:val="Heading2"/>
      </w:pPr>
      <w:r>
        <w:t>Genesis 33:1–2 — family arranged, danger faced personally</w:t>
      </w:r>
    </w:p>
    <w:p>
      <w:pPr/>
      <w:r>
        <w:rPr>
          <w:i w:val="0"/>
        </w:rPr>
        <w:t>Jacob sees Esau approaching with four hundred men and arranges the household in the familiar order: the handmaids and their children first, Leah and her children next, Rachel and Joseph last. The order reflects Jacob’s preferences, but verse 3 marks an important change: Jacob himself goes in front. He no longer places gifts or family between himself and the brother he fears.</w:t>
      </w:r>
    </w:p>
    <w:p>
      <w:pPr>
        <w:pStyle w:val="Heading2"/>
      </w:pPr>
      <w:r>
        <w:t>Genesis 33:3 — seven bows</w:t>
      </w:r>
    </w:p>
    <w:p>
      <w:pPr/>
      <w:r>
        <w:rPr>
          <w:i w:val="0"/>
        </w:rPr>
        <w:t>Jacob bows to the ground seven times as he advances. The repeated prostration is an unmistakable gesture of humility and conciliation. It need not be read as surrender of the covenant blessing; Jacob is seeking peace and acknowledging the wrong he had done without renouncing the promises God had given him.</w:t>
      </w:r>
    </w:p>
    <w:p>
      <w:pPr>
        <w:pStyle w:val="Heading1"/>
      </w:pPr>
      <w:r>
        <w:t>RECONCILIATION — GENESIS 33:4–11</w:t>
      </w:r>
    </w:p>
    <w:p>
      <w:pPr>
        <w:pStyle w:val="Heading2"/>
      </w:pPr>
      <w:r>
        <w:t>Genesis 33:4 — “Esau ran to meet him”</w:t>
      </w:r>
    </w:p>
    <w:p>
      <w:pPr/>
      <w:r>
        <w:rPr>
          <w:i w:val="0"/>
        </w:rPr>
        <w:t>The expected attack never comes. Esau runs to Jacob, embraces him, falls on his neck, kisses him, and both men weep. Mansfield rightly sees the meeting as an answer to Jacob’s prayer and a work of providence. Proverbs 16:7 expresses the principle well: when a man’s ways please Yahweh, even enemies may be made to be at peace with him.</w:t>
      </w:r>
    </w:p>
    <w:p>
      <w:pPr>
        <w:pStyle w:val="Heading2"/>
      </w:pPr>
      <w:r>
        <w:t>Genesis 33:5–7 — children received as grace</w:t>
      </w:r>
    </w:p>
    <w:p>
      <w:pPr/>
      <w:r>
        <w:rPr>
          <w:i w:val="0"/>
        </w:rPr>
        <w:t>When Esau asks about the women and children, Jacob replies that they are “the children which God hath graciously given thy servant.” The verb and wording keep grace, not personal achievement, at the centre. The family groups then approach and bow in turn.</w:t>
      </w:r>
    </w:p>
    <w:p>
      <w:pPr>
        <w:pStyle w:val="Heading2"/>
      </w:pPr>
      <w:r>
        <w:t>Genesis 33:8–9 — Esau: “I have enough”</w:t>
      </w:r>
    </w:p>
    <w:p>
      <w:pPr/>
      <w:r>
        <w:rPr>
          <w:i w:val="0"/>
        </w:rPr>
        <w:t>Esau asks about the droves sent ahead. Jacob explains that they were intended to find grace in Esau’s sight. Esau replies, “I have enough, my brother.” The Hebrew rab means much, abundance or plenty. Materially, Esau considers himself well supplied and initially refuses the gift.</w:t>
      </w:r>
    </w:p>
    <w:p>
      <w:pPr>
        <w:pStyle w:val="Heading2"/>
      </w:pPr>
      <w:r>
        <w:t>Genesis 33:10 — Esau’s face and the face of God</w:t>
      </w:r>
    </w:p>
    <w:p>
      <w:pPr/>
      <w:r>
        <w:rPr>
          <w:i w:val="0"/>
        </w:rPr>
        <w:t>Jacob urges Esau to receive the present, saying, “I have seen thy face, as though I had seen the face of God, and thou wast pleased with me.” The statement deliberately echoes the face-language of Peniel in Genesis 32:30. Jacob is not identifying Esau with God; he is recognising in Esau’s unexpectedly favourable reception the providential answer of the God whose “face” he had encountered through the angel.</w:t>
      </w:r>
    </w:p>
    <w:p>
      <w:pPr>
        <w:pStyle w:val="Heading2"/>
      </w:pPr>
      <w:r>
        <w:t>Genesis 33:11 — “I have all”</w:t>
      </w:r>
    </w:p>
    <w:p>
      <w:pPr/>
      <w:r>
        <w:rPr>
          <w:i w:val="0"/>
        </w:rPr>
        <w:t>Jacob says, “God hath dealt graciously with me, and because I have enough.” His “enough” differs from Esau’s. The Hebrew kol is literally “all.” Mansfield sees more than material sufficiency: Jacob possesses the covenant blessing and therefore can freely part with material wealth. The text certainly emphasises that Jacob regards his abundance as Divine grace rather than as something he must protect from Esau.</w:t>
      </w:r>
    </w:p>
    <w:p>
      <w:pPr/>
      <w:r>
        <w:rPr>
          <w:i w:val="0"/>
        </w:rPr>
        <w:t>Jacob calls the gift “my blessing.” The word can denote a blessing or a gift of goodwill. Esau finally accepts it. In the social setting, acceptance seals the reconciliation and removes the immediate dispute between them.</w:t>
      </w:r>
    </w:p>
    <w:p>
      <w:pPr>
        <w:pStyle w:val="Heading1"/>
      </w:pPr>
      <w:r>
        <w:t>THE BROTHERS SEPARATE AGAIN — GENESIS 33:12–16</w:t>
      </w:r>
    </w:p>
    <w:p>
      <w:pPr>
        <w:pStyle w:val="Heading2"/>
      </w:pPr>
      <w:r>
        <w:t>Genesis 33:12–14 — Jacob moves at the pace of children and nursing flocks</w:t>
      </w:r>
    </w:p>
    <w:p>
      <w:pPr/>
      <w:r>
        <w:rPr>
          <w:i w:val="0"/>
        </w:rPr>
        <w:t>Esau offers to travel ahead with Jacob, but Jacob explains that the children are tender and the flocks and herds are nursing. The Hebrew idiom behind “according as the cattle ... and the children be able to endure” is literally “according to the foot” of the livestock and children: the pace must match the weakest travellers. His shepherding concern contrasts with forced marching.</w:t>
      </w:r>
    </w:p>
    <w:p>
      <w:pPr/>
      <w:r>
        <w:rPr>
          <w:i w:val="0"/>
        </w:rPr>
        <w:t>Jacob says he will come “unto my lord unto Seir.” Genesis never records such a visit. Mansfield suggests that Jacob may genuinely have intended it and later changed course; other readers suspect diplomatic language. The text does not settle Jacob’s precise intention, so no stronger judgment should be imposed.</w:t>
      </w:r>
    </w:p>
    <w:p>
      <w:pPr>
        <w:pStyle w:val="Heading2"/>
      </w:pPr>
      <w:r>
        <w:t>Genesis 33:15–16 — escort declined</w:t>
      </w:r>
    </w:p>
    <w:p>
      <w:pPr/>
      <w:r>
        <w:rPr>
          <w:i w:val="0"/>
        </w:rPr>
        <w:t>Esau offers to leave some of his four hundred men as an escort. Jacob declines and asks only for continued favour. Esau then returns to Seir. Reconciliation has been achieved, but the households remain separate and their distinct historical lines continue.</w:t>
      </w:r>
    </w:p>
    <w:p>
      <w:pPr>
        <w:pStyle w:val="Heading1"/>
      </w:pPr>
      <w:r>
        <w:t>SUCCOTH AND SHECHEM — GENESIS 33:17–20</w:t>
      </w:r>
    </w:p>
    <w:p>
      <w:pPr>
        <w:pStyle w:val="Heading2"/>
      </w:pPr>
      <w:r>
        <w:t>Genesis 33:17 — Succoth: booths</w:t>
      </w:r>
    </w:p>
    <w:p>
      <w:pPr/>
      <w:r>
        <w:rPr>
          <w:i w:val="0"/>
        </w:rPr>
        <w:t>Jacob travels to Succoth, builds a house for himself and makes booths for his cattle. Succoth is simply the plural of sukkah, booth or temporary shelter; the place is named from those structures. Mansfield connects the name with later tabernacle/booth imagery, but the immediate explanation is supplied directly by the verse.</w:t>
      </w:r>
    </w:p>
    <w:p>
      <w:pPr>
        <w:pStyle w:val="Heading2"/>
      </w:pPr>
      <w:r>
        <w:t>Genesis 33:18 — “came in peace” to Shechem</w:t>
      </w:r>
    </w:p>
    <w:p>
      <w:pPr/>
      <w:r>
        <w:rPr>
          <w:i w:val="0"/>
        </w:rPr>
        <w:t>The KJV can look as though “Shalem” is a place-name, but the better reading is adverbial: Jacob came shalem — safely, whole or in peace — to the city of Shechem. This fulfils the substance of his Bethel vow, where he had spoken of returning to his father’s house “in peace” (Genesis 28:21). The long journey from Padan-aram has therefore reached a major point of fulfilment.</w:t>
      </w:r>
    </w:p>
    <w:p>
      <w:pPr/>
      <w:r>
        <w:rPr>
          <w:i w:val="0"/>
        </w:rPr>
        <w:t>Shechem is normally connected with the Hebrew word for shoulder or back. Mansfield’s devotional rendering “Burden-Bearer” is an interpretative development from the idea of a shoulder carrying a load, not the simplest lexical meaning of the name.</w:t>
      </w:r>
    </w:p>
    <w:p>
      <w:pPr>
        <w:pStyle w:val="Heading2"/>
      </w:pPr>
      <w:r>
        <w:t>Genesis 33:19 — the field and one hundred qesitah</w:t>
      </w:r>
    </w:p>
    <w:p>
      <w:pPr/>
      <w:r>
        <w:rPr>
          <w:i w:val="0"/>
        </w:rPr>
        <w:t>Jacob buys a parcel of ground from the sons of Hamor for one hundred qesitah. The exact value and form of a qesitah are unknown. The Septuagint and some older traditions associated the term with lambs, while others understood a weight or monetary unit. The romantic idea that early coins were stamped with lambs is possible but unproved and should not be presented as fact.</w:t>
      </w:r>
    </w:p>
    <w:p>
      <w:pPr/>
      <w:r>
        <w:rPr>
          <w:i w:val="0"/>
        </w:rPr>
        <w:t>Joshua 24:32 later identifies this field as the burial place of Joseph and explicitly recalls that Jacob bought it from the sons of Hamor. Acts 7:16 contains a well-known compressed or difficult reference involving Abraham, Shechem and the sons of Emmor/Hamor. Mansfield proposes that Abraham had made an earlier unrecorded purchase which Jacob later “recovered,” but the Hebrew qanah in Genesis 33:19 simply means acquire/buy and does not by itself establish repossession. The difficulty should therefore remain acknowledged rather than solved by assertion.</w:t>
      </w:r>
    </w:p>
    <w:p>
      <w:pPr>
        <w:pStyle w:val="Heading2"/>
      </w:pPr>
      <w:r>
        <w:t>Genesis 33:20 — El-elohe-Israel</w:t>
      </w:r>
    </w:p>
    <w:p>
      <w:pPr/>
      <w:r>
        <w:rPr>
          <w:i w:val="0"/>
        </w:rPr>
        <w:t>Jacob erects an altar and names it El-elohe-Israel. The most straightforward sense is “El, the God of Israel” or “God, the God of Israel.” The name is striking because Jacob now uses the new name Israel in worship. The God who promised to be with him, preserved him under Laban, brought him through Peniel and reconciled him with Esau is publicly acknowledged in the land.</w:t>
      </w:r>
    </w:p>
    <w:p>
      <w:pPr>
        <w:pStyle w:val="Heading1"/>
      </w:pPr>
      <w:r>
        <w:t>PRINCIPAL THEMES</w:t>
      </w:r>
    </w:p>
    <w:p>
      <w:pPr>
        <w:ind w:left="259" w:hanging="202"/>
      </w:pPr>
      <w:r>
        <w:rPr>
          <w:b/>
        </w:rPr>
        <w:t xml:space="preserve">• </w:t>
      </w:r>
      <w:r>
        <w:t>Jacob personally faces the brother and consequence he had feared.</w:t>
      </w:r>
    </w:p>
    <w:p>
      <w:pPr>
        <w:ind w:left="259" w:hanging="202"/>
      </w:pPr>
      <w:r>
        <w:rPr>
          <w:b/>
        </w:rPr>
        <w:t xml:space="preserve">• </w:t>
      </w:r>
      <w:r>
        <w:t>Reconciliation exceeds Jacob’s expectations and answers his prayer.</w:t>
      </w:r>
    </w:p>
    <w:p>
      <w:pPr>
        <w:ind w:left="259" w:hanging="202"/>
      </w:pPr>
      <w:r>
        <w:rPr>
          <w:b/>
        </w:rPr>
        <w:t xml:space="preserve">• </w:t>
      </w:r>
      <w:r>
        <w:t>Children, prosperity and safety are repeatedly described as Divine grace.</w:t>
      </w:r>
    </w:p>
    <w:p>
      <w:pPr>
        <w:ind w:left="259" w:hanging="202"/>
      </w:pPr>
      <w:r>
        <w:rPr>
          <w:b/>
        </w:rPr>
        <w:t xml:space="preserve">• </w:t>
      </w:r>
      <w:r>
        <w:t>The gift becomes a tangible seal of reconciliation rather than merely a defensive bribe.</w:t>
      </w:r>
    </w:p>
    <w:p>
      <w:pPr>
        <w:ind w:left="259" w:hanging="202"/>
      </w:pPr>
      <w:r>
        <w:rPr>
          <w:b/>
        </w:rPr>
        <w:t xml:space="preserve">• </w:t>
      </w:r>
      <w:r>
        <w:t>Reconciliation does not require Jacob and Esau to merge their separate callings and households.</w:t>
      </w:r>
    </w:p>
    <w:p>
      <w:pPr>
        <w:ind w:left="259" w:hanging="202"/>
      </w:pPr>
      <w:r>
        <w:rPr>
          <w:b/>
        </w:rPr>
        <w:t xml:space="preserve">• </w:t>
      </w:r>
      <w:r>
        <w:t>Jacob arrives shalem — safely/in peace — in Canaan, echoing the Bethel vow.</w:t>
      </w:r>
    </w:p>
    <w:p>
      <w:pPr>
        <w:ind w:left="259" w:hanging="202"/>
      </w:pPr>
      <w:r>
        <w:rPr>
          <w:b/>
        </w:rPr>
        <w:t xml:space="preserve">• </w:t>
      </w:r>
      <w:r>
        <w:t>El-elohe-Israel marks worship from the man now bearing the name Israel.</w:t>
      </w:r>
    </w:p>
    <w:p>
      <w:pPr>
        <w:pStyle w:val="Heading1"/>
        <w:pageBreakBefore/>
      </w:pPr>
      <w:r>
        <w:t>EDITORIAL VERIFICATION AND RECOVERED READINGS</w:t>
      </w:r>
    </w:p>
    <w:tbl>
      <w:tblPr>
        <w:tblStyle w:val="TableGrid"/>
        <w:tblW w:type="auto" w:w="0"/>
        <w:jc w:val="center"/>
        <w:tblLook w:firstColumn="1" w:firstRow="1" w:lastColumn="0" w:lastRow="0" w:noHBand="0" w:noVBand="1" w:val="04A0"/>
      </w:tblPr>
      <w:tblGrid>
        <w:gridCol w:w="3552"/>
        <w:gridCol w:w="3552"/>
        <w:gridCol w:w="3552"/>
      </w:tblGrid>
      <w:tr>
        <w:tc>
          <w:tcPr>
            <w:tcW w:type="dxa" w:w="3552"/>
          </w:tcPr>
          <w:p>
            <w:r>
              <w:rPr>
                <w:rFonts w:ascii="Arial" w:hAnsi="Arial"/>
                <w:b/>
                <w:sz w:val="16"/>
              </w:rPr>
              <w:t>Location</w:t>
            </w:r>
          </w:p>
        </w:tc>
        <w:tc>
          <w:tcPr>
            <w:tcW w:type="dxa" w:w="3552"/>
          </w:tcPr>
          <w:p>
            <w:r>
              <w:rPr>
                <w:rFonts w:ascii="Arial" w:hAnsi="Arial"/>
                <w:b/>
                <w:sz w:val="16"/>
              </w:rPr>
              <w:t>Checked / corrected reading</w:t>
            </w:r>
          </w:p>
        </w:tc>
        <w:tc>
          <w:tcPr>
            <w:tcW w:type="dxa" w:w="3552"/>
          </w:tcPr>
          <w:p>
            <w:r>
              <w:rPr>
                <w:rFonts w:ascii="Arial" w:hAnsi="Arial"/>
                <w:b/>
                <w:sz w:val="16"/>
              </w:rPr>
              <w:t>Basis</w:t>
            </w:r>
          </w:p>
        </w:tc>
      </w:tr>
      <w:tr>
        <w:tc>
          <w:tcPr>
            <w:tcW w:type="dxa" w:w="3552"/>
            <w:vAlign w:val="top"/>
          </w:tcPr>
          <w:p>
            <w:pPr>
              <w:spacing w:after="0"/>
            </w:pPr>
            <w:r>
              <w:rPr>
                <w:rFonts w:ascii="Times New Roman" w:hAnsi="Times New Roman"/>
                <w:sz w:val="15"/>
              </w:rPr>
              <w:t>Gen. 33:3</w:t>
            </w:r>
          </w:p>
        </w:tc>
        <w:tc>
          <w:tcPr>
            <w:tcW w:type="dxa" w:w="3552"/>
            <w:vAlign w:val="top"/>
          </w:tcPr>
          <w:p>
            <w:pPr>
              <w:spacing w:after="0"/>
            </w:pPr>
            <w:r>
              <w:rPr>
                <w:rFonts w:ascii="Times New Roman" w:hAnsi="Times New Roman"/>
                <w:sz w:val="15"/>
              </w:rPr>
              <w:t>seven bows</w:t>
            </w:r>
          </w:p>
        </w:tc>
        <w:tc>
          <w:tcPr>
            <w:tcW w:type="dxa" w:w="3552"/>
            <w:vAlign w:val="top"/>
          </w:tcPr>
          <w:p>
            <w:pPr>
              <w:spacing w:after="0"/>
            </w:pPr>
            <w:r>
              <w:rPr>
                <w:rFonts w:ascii="Times New Roman" w:hAnsi="Times New Roman"/>
                <w:sz w:val="15"/>
              </w:rPr>
              <w:t>Humility/conciliation; not treated as surrender of the covenant promise.</w:t>
            </w:r>
          </w:p>
        </w:tc>
      </w:tr>
      <w:tr>
        <w:tc>
          <w:tcPr>
            <w:tcW w:type="dxa" w:w="3552"/>
            <w:vAlign w:val="top"/>
          </w:tcPr>
          <w:p>
            <w:pPr>
              <w:spacing w:after="0"/>
            </w:pPr>
            <w:r>
              <w:rPr>
                <w:rFonts w:ascii="Times New Roman" w:hAnsi="Times New Roman"/>
                <w:sz w:val="15"/>
              </w:rPr>
              <w:t>Gen. 33:4</w:t>
            </w:r>
          </w:p>
        </w:tc>
        <w:tc>
          <w:tcPr>
            <w:tcW w:type="dxa" w:w="3552"/>
            <w:vAlign w:val="top"/>
          </w:tcPr>
          <w:p>
            <w:pPr>
              <w:spacing w:after="0"/>
            </w:pPr>
            <w:r>
              <w:rPr>
                <w:rFonts w:ascii="Times New Roman" w:hAnsi="Times New Roman"/>
                <w:sz w:val="15"/>
              </w:rPr>
              <w:t>Prov. 16:7</w:t>
            </w:r>
          </w:p>
        </w:tc>
        <w:tc>
          <w:tcPr>
            <w:tcW w:type="dxa" w:w="3552"/>
            <w:vAlign w:val="top"/>
          </w:tcPr>
          <w:p>
            <w:pPr>
              <w:spacing w:after="0"/>
            </w:pPr>
            <w:r>
              <w:rPr>
                <w:rFonts w:ascii="Times New Roman" w:hAnsi="Times New Roman"/>
                <w:sz w:val="15"/>
              </w:rPr>
              <w:t>Useful cross-reference to the unexpected peace with Esau.</w:t>
            </w:r>
          </w:p>
        </w:tc>
      </w:tr>
      <w:tr>
        <w:tc>
          <w:tcPr>
            <w:tcW w:type="dxa" w:w="3552"/>
            <w:vAlign w:val="top"/>
          </w:tcPr>
          <w:p>
            <w:pPr>
              <w:spacing w:after="0"/>
            </w:pPr>
            <w:r>
              <w:rPr>
                <w:rFonts w:ascii="Times New Roman" w:hAnsi="Times New Roman"/>
                <w:sz w:val="15"/>
              </w:rPr>
              <w:t>Gen. 33:5</w:t>
            </w:r>
          </w:p>
        </w:tc>
        <w:tc>
          <w:tcPr>
            <w:tcW w:type="dxa" w:w="3552"/>
            <w:vAlign w:val="top"/>
          </w:tcPr>
          <w:p>
            <w:pPr>
              <w:spacing w:after="0"/>
            </w:pPr>
            <w:r>
              <w:rPr>
                <w:rFonts w:ascii="Times New Roman" w:hAnsi="Times New Roman"/>
                <w:sz w:val="15"/>
              </w:rPr>
              <w:t>graciously given</w:t>
            </w:r>
          </w:p>
        </w:tc>
        <w:tc>
          <w:tcPr>
            <w:tcW w:type="dxa" w:w="3552"/>
            <w:vAlign w:val="top"/>
          </w:tcPr>
          <w:p>
            <w:pPr>
              <w:spacing w:after="0"/>
            </w:pPr>
            <w:r>
              <w:rPr>
                <w:rFonts w:ascii="Times New Roman" w:hAnsi="Times New Roman"/>
                <w:sz w:val="15"/>
              </w:rPr>
              <w:t>Jacob explicitly attributes his children to Divine grace.</w:t>
            </w:r>
          </w:p>
        </w:tc>
      </w:tr>
      <w:tr>
        <w:tc>
          <w:tcPr>
            <w:tcW w:type="dxa" w:w="3552"/>
            <w:vAlign w:val="top"/>
          </w:tcPr>
          <w:p>
            <w:pPr>
              <w:spacing w:after="0"/>
            </w:pPr>
            <w:r>
              <w:rPr>
                <w:rFonts w:ascii="Times New Roman" w:hAnsi="Times New Roman"/>
                <w:sz w:val="15"/>
              </w:rPr>
              <w:t>Gen. 33:8</w:t>
            </w:r>
          </w:p>
        </w:tc>
        <w:tc>
          <w:tcPr>
            <w:tcW w:type="dxa" w:w="3552"/>
            <w:vAlign w:val="top"/>
          </w:tcPr>
          <w:p>
            <w:pPr>
              <w:spacing w:after="0"/>
            </w:pPr>
            <w:r>
              <w:rPr>
                <w:rFonts w:ascii="Times New Roman" w:hAnsi="Times New Roman"/>
                <w:sz w:val="15"/>
              </w:rPr>
              <w:t>machaneh</w:t>
            </w:r>
          </w:p>
        </w:tc>
        <w:tc>
          <w:tcPr>
            <w:tcW w:type="dxa" w:w="3552"/>
            <w:vAlign w:val="top"/>
          </w:tcPr>
          <w:p>
            <w:pPr>
              <w:spacing w:after="0"/>
            </w:pPr>
            <w:r>
              <w:rPr>
                <w:rFonts w:ascii="Times New Roman" w:hAnsi="Times New Roman"/>
                <w:sz w:val="15"/>
              </w:rPr>
              <w:t>“Drove/company/camp”; connects with the camp-language of Genesis 32.</w:t>
            </w:r>
          </w:p>
        </w:tc>
      </w:tr>
      <w:tr>
        <w:tc>
          <w:tcPr>
            <w:tcW w:type="dxa" w:w="3552"/>
            <w:vAlign w:val="top"/>
          </w:tcPr>
          <w:p>
            <w:pPr>
              <w:spacing w:after="0"/>
            </w:pPr>
            <w:r>
              <w:rPr>
                <w:rFonts w:ascii="Times New Roman" w:hAnsi="Times New Roman"/>
                <w:sz w:val="15"/>
              </w:rPr>
              <w:t>Gen. 33:9</w:t>
            </w:r>
          </w:p>
        </w:tc>
        <w:tc>
          <w:tcPr>
            <w:tcW w:type="dxa" w:w="3552"/>
            <w:vAlign w:val="top"/>
          </w:tcPr>
          <w:p>
            <w:pPr>
              <w:spacing w:after="0"/>
            </w:pPr>
            <w:r>
              <w:rPr>
                <w:rFonts w:ascii="Times New Roman" w:hAnsi="Times New Roman"/>
                <w:sz w:val="15"/>
              </w:rPr>
              <w:t>rab</w:t>
            </w:r>
          </w:p>
        </w:tc>
        <w:tc>
          <w:tcPr>
            <w:tcW w:type="dxa" w:w="3552"/>
            <w:vAlign w:val="top"/>
          </w:tcPr>
          <w:p>
            <w:pPr>
              <w:spacing w:after="0"/>
            </w:pPr>
            <w:r>
              <w:rPr>
                <w:rFonts w:ascii="Times New Roman" w:hAnsi="Times New Roman"/>
                <w:sz w:val="15"/>
              </w:rPr>
              <w:t>Esau’s “enough” = abundance/plenty.</w:t>
            </w:r>
          </w:p>
        </w:tc>
      </w:tr>
      <w:tr>
        <w:tc>
          <w:tcPr>
            <w:tcW w:type="dxa" w:w="3552"/>
            <w:vAlign w:val="top"/>
          </w:tcPr>
          <w:p>
            <w:pPr>
              <w:spacing w:after="0"/>
            </w:pPr>
            <w:r>
              <w:rPr>
                <w:rFonts w:ascii="Times New Roman" w:hAnsi="Times New Roman"/>
                <w:sz w:val="15"/>
              </w:rPr>
              <w:t>Gen. 33:10</w:t>
            </w:r>
          </w:p>
        </w:tc>
        <w:tc>
          <w:tcPr>
            <w:tcW w:type="dxa" w:w="3552"/>
            <w:vAlign w:val="top"/>
          </w:tcPr>
          <w:p>
            <w:pPr>
              <w:spacing w:after="0"/>
            </w:pPr>
            <w:r>
              <w:rPr>
                <w:rFonts w:ascii="Times New Roman" w:hAnsi="Times New Roman"/>
                <w:sz w:val="15"/>
              </w:rPr>
              <w:t>Gen. 32:30</w:t>
            </w:r>
          </w:p>
        </w:tc>
        <w:tc>
          <w:tcPr>
            <w:tcW w:type="dxa" w:w="3552"/>
            <w:vAlign w:val="top"/>
          </w:tcPr>
          <w:p>
            <w:pPr>
              <w:spacing w:after="0"/>
            </w:pPr>
            <w:r>
              <w:rPr>
                <w:rFonts w:ascii="Times New Roman" w:hAnsi="Times New Roman"/>
                <w:sz w:val="15"/>
              </w:rPr>
              <w:t>Face-language deliberately follows Peniel; not an equation of Esau with God.</w:t>
            </w:r>
          </w:p>
        </w:tc>
      </w:tr>
      <w:tr>
        <w:tc>
          <w:tcPr>
            <w:tcW w:type="dxa" w:w="3552"/>
            <w:vAlign w:val="top"/>
          </w:tcPr>
          <w:p>
            <w:pPr>
              <w:spacing w:after="0"/>
            </w:pPr>
            <w:r>
              <w:rPr>
                <w:rFonts w:ascii="Times New Roman" w:hAnsi="Times New Roman"/>
                <w:sz w:val="15"/>
              </w:rPr>
              <w:t>Gen. 33:11</w:t>
            </w:r>
          </w:p>
        </w:tc>
        <w:tc>
          <w:tcPr>
            <w:tcW w:type="dxa" w:w="3552"/>
            <w:vAlign w:val="top"/>
          </w:tcPr>
          <w:p>
            <w:pPr>
              <w:spacing w:after="0"/>
            </w:pPr>
            <w:r>
              <w:rPr>
                <w:rFonts w:ascii="Times New Roman" w:hAnsi="Times New Roman"/>
                <w:sz w:val="15"/>
              </w:rPr>
              <w:t>kol</w:t>
            </w:r>
          </w:p>
        </w:tc>
        <w:tc>
          <w:tcPr>
            <w:tcW w:type="dxa" w:w="3552"/>
            <w:vAlign w:val="top"/>
          </w:tcPr>
          <w:p>
            <w:pPr>
              <w:spacing w:after="0"/>
            </w:pPr>
            <w:r>
              <w:rPr>
                <w:rFonts w:ascii="Times New Roman" w:hAnsi="Times New Roman"/>
                <w:sz w:val="15"/>
              </w:rPr>
              <w:t>Jacob literally says “I have all,” stronger than mere material sufficiency.</w:t>
            </w:r>
          </w:p>
        </w:tc>
      </w:tr>
      <w:tr>
        <w:tc>
          <w:tcPr>
            <w:tcW w:type="dxa" w:w="3552"/>
            <w:vAlign w:val="top"/>
          </w:tcPr>
          <w:p>
            <w:pPr>
              <w:spacing w:after="0"/>
            </w:pPr>
            <w:r>
              <w:rPr>
                <w:rFonts w:ascii="Times New Roman" w:hAnsi="Times New Roman"/>
                <w:sz w:val="15"/>
              </w:rPr>
              <w:t>Gen. 33:13–14</w:t>
            </w:r>
          </w:p>
        </w:tc>
        <w:tc>
          <w:tcPr>
            <w:tcW w:type="dxa" w:w="3552"/>
            <w:vAlign w:val="top"/>
          </w:tcPr>
          <w:p>
            <w:pPr>
              <w:spacing w:after="0"/>
            </w:pPr>
            <w:r>
              <w:rPr>
                <w:rFonts w:ascii="Times New Roman" w:hAnsi="Times New Roman"/>
                <w:sz w:val="15"/>
              </w:rPr>
              <w:t>“according to the foot”</w:t>
            </w:r>
          </w:p>
        </w:tc>
        <w:tc>
          <w:tcPr>
            <w:tcW w:type="dxa" w:w="3552"/>
            <w:vAlign w:val="top"/>
          </w:tcPr>
          <w:p>
            <w:pPr>
              <w:spacing w:after="0"/>
            </w:pPr>
            <w:r>
              <w:rPr>
                <w:rFonts w:ascii="Times New Roman" w:hAnsi="Times New Roman"/>
                <w:sz w:val="15"/>
              </w:rPr>
              <w:t>Recovered Hebrew idiom: pace regulated by livestock and children.</w:t>
            </w:r>
          </w:p>
        </w:tc>
      </w:tr>
      <w:tr>
        <w:tc>
          <w:tcPr>
            <w:tcW w:type="dxa" w:w="3552"/>
            <w:vAlign w:val="top"/>
          </w:tcPr>
          <w:p>
            <w:pPr>
              <w:spacing w:after="0"/>
            </w:pPr>
            <w:r>
              <w:rPr>
                <w:rFonts w:ascii="Times New Roman" w:hAnsi="Times New Roman"/>
                <w:sz w:val="15"/>
              </w:rPr>
              <w:t>Gen. 33:14</w:t>
            </w:r>
          </w:p>
        </w:tc>
        <w:tc>
          <w:tcPr>
            <w:tcW w:type="dxa" w:w="3552"/>
            <w:vAlign w:val="top"/>
          </w:tcPr>
          <w:p>
            <w:pPr>
              <w:spacing w:after="0"/>
            </w:pPr>
            <w:r>
              <w:rPr>
                <w:rFonts w:ascii="Times New Roman" w:hAnsi="Times New Roman"/>
                <w:sz w:val="15"/>
              </w:rPr>
              <w:t>Seir visit</w:t>
            </w:r>
          </w:p>
        </w:tc>
        <w:tc>
          <w:tcPr>
            <w:tcW w:type="dxa" w:w="3552"/>
            <w:vAlign w:val="top"/>
          </w:tcPr>
          <w:p>
            <w:pPr>
              <w:spacing w:after="0"/>
            </w:pPr>
            <w:r>
              <w:rPr>
                <w:rFonts w:ascii="Times New Roman" w:hAnsi="Times New Roman"/>
                <w:sz w:val="15"/>
              </w:rPr>
              <w:t>No later visit is recorded; Jacob’s exact intention remains uncertain.</w:t>
            </w:r>
          </w:p>
        </w:tc>
      </w:tr>
      <w:tr>
        <w:tc>
          <w:tcPr>
            <w:tcW w:type="dxa" w:w="3552"/>
            <w:vAlign w:val="top"/>
          </w:tcPr>
          <w:p>
            <w:pPr>
              <w:spacing w:after="0"/>
            </w:pPr>
            <w:r>
              <w:rPr>
                <w:rFonts w:ascii="Times New Roman" w:hAnsi="Times New Roman"/>
                <w:sz w:val="15"/>
              </w:rPr>
              <w:t>Gen. 33:17</w:t>
            </w:r>
          </w:p>
        </w:tc>
        <w:tc>
          <w:tcPr>
            <w:tcW w:type="dxa" w:w="3552"/>
            <w:vAlign w:val="top"/>
          </w:tcPr>
          <w:p>
            <w:pPr>
              <w:spacing w:after="0"/>
            </w:pPr>
            <w:r>
              <w:rPr>
                <w:rFonts w:ascii="Times New Roman" w:hAnsi="Times New Roman"/>
                <w:sz w:val="15"/>
              </w:rPr>
              <w:t>sukkoth</w:t>
            </w:r>
          </w:p>
        </w:tc>
        <w:tc>
          <w:tcPr>
            <w:tcW w:type="dxa" w:w="3552"/>
            <w:vAlign w:val="top"/>
          </w:tcPr>
          <w:p>
            <w:pPr>
              <w:spacing w:after="0"/>
            </w:pPr>
            <w:r>
              <w:rPr>
                <w:rFonts w:ascii="Times New Roman" w:hAnsi="Times New Roman"/>
                <w:sz w:val="15"/>
              </w:rPr>
              <w:t>Plural “booths/shelters”; direct basis of the place-name.</w:t>
            </w:r>
          </w:p>
        </w:tc>
      </w:tr>
      <w:tr>
        <w:tc>
          <w:tcPr>
            <w:tcW w:type="dxa" w:w="3552"/>
            <w:vAlign w:val="top"/>
          </w:tcPr>
          <w:p>
            <w:pPr>
              <w:spacing w:after="0"/>
            </w:pPr>
            <w:r>
              <w:rPr>
                <w:rFonts w:ascii="Times New Roman" w:hAnsi="Times New Roman"/>
                <w:sz w:val="15"/>
              </w:rPr>
              <w:t>Gen. 33:18</w:t>
            </w:r>
          </w:p>
        </w:tc>
        <w:tc>
          <w:tcPr>
            <w:tcW w:type="dxa" w:w="3552"/>
            <w:vAlign w:val="top"/>
          </w:tcPr>
          <w:p>
            <w:pPr>
              <w:spacing w:after="0"/>
            </w:pPr>
            <w:r>
              <w:rPr>
                <w:rFonts w:ascii="Times New Roman" w:hAnsi="Times New Roman"/>
                <w:sz w:val="15"/>
              </w:rPr>
              <w:t>shalem</w:t>
            </w:r>
          </w:p>
        </w:tc>
        <w:tc>
          <w:tcPr>
            <w:tcW w:type="dxa" w:w="3552"/>
            <w:vAlign w:val="top"/>
          </w:tcPr>
          <w:p>
            <w:pPr>
              <w:spacing w:after="0"/>
            </w:pPr>
            <w:r>
              <w:rPr>
                <w:rFonts w:ascii="Times New Roman" w:hAnsi="Times New Roman"/>
                <w:sz w:val="15"/>
              </w:rPr>
              <w:t>Corrects KJV appearance of a place-name: safely/whole/in peace.</w:t>
            </w:r>
          </w:p>
        </w:tc>
      </w:tr>
      <w:tr>
        <w:tc>
          <w:tcPr>
            <w:tcW w:type="dxa" w:w="3552"/>
            <w:vAlign w:val="top"/>
          </w:tcPr>
          <w:p>
            <w:pPr>
              <w:spacing w:after="0"/>
            </w:pPr>
            <w:r>
              <w:rPr>
                <w:rFonts w:ascii="Times New Roman" w:hAnsi="Times New Roman"/>
                <w:sz w:val="15"/>
              </w:rPr>
              <w:t>Gen. 33:18</w:t>
            </w:r>
          </w:p>
        </w:tc>
        <w:tc>
          <w:tcPr>
            <w:tcW w:type="dxa" w:w="3552"/>
            <w:vAlign w:val="top"/>
          </w:tcPr>
          <w:p>
            <w:pPr>
              <w:spacing w:after="0"/>
            </w:pPr>
            <w:r>
              <w:rPr>
                <w:rFonts w:ascii="Times New Roman" w:hAnsi="Times New Roman"/>
                <w:sz w:val="15"/>
              </w:rPr>
              <w:t>Shechem = shoulder/back</w:t>
            </w:r>
          </w:p>
        </w:tc>
        <w:tc>
          <w:tcPr>
            <w:tcW w:type="dxa" w:w="3552"/>
            <w:vAlign w:val="top"/>
          </w:tcPr>
          <w:p>
            <w:pPr>
              <w:spacing w:after="0"/>
            </w:pPr>
            <w:r>
              <w:rPr>
                <w:rFonts w:ascii="Times New Roman" w:hAnsi="Times New Roman"/>
                <w:sz w:val="15"/>
              </w:rPr>
              <w:t>Mansfield’s “Burden-Bearer” kept as interpretative extension, not primary lexical meaning.</w:t>
            </w:r>
          </w:p>
        </w:tc>
      </w:tr>
      <w:tr>
        <w:tc>
          <w:tcPr>
            <w:tcW w:type="dxa" w:w="3552"/>
            <w:vAlign w:val="top"/>
          </w:tcPr>
          <w:p>
            <w:pPr>
              <w:spacing w:after="0"/>
            </w:pPr>
            <w:r>
              <w:rPr>
                <w:rFonts w:ascii="Times New Roman" w:hAnsi="Times New Roman"/>
                <w:sz w:val="15"/>
              </w:rPr>
              <w:t>Gen. 33:19</w:t>
            </w:r>
          </w:p>
        </w:tc>
        <w:tc>
          <w:tcPr>
            <w:tcW w:type="dxa" w:w="3552"/>
            <w:vAlign w:val="top"/>
          </w:tcPr>
          <w:p>
            <w:pPr>
              <w:spacing w:after="0"/>
            </w:pPr>
            <w:r>
              <w:rPr>
                <w:rFonts w:ascii="Times New Roman" w:hAnsi="Times New Roman"/>
                <w:sz w:val="15"/>
              </w:rPr>
              <w:t>qesitah</w:t>
            </w:r>
          </w:p>
        </w:tc>
        <w:tc>
          <w:tcPr>
            <w:tcW w:type="dxa" w:w="3552"/>
            <w:vAlign w:val="top"/>
          </w:tcPr>
          <w:p>
            <w:pPr>
              <w:spacing w:after="0"/>
            </w:pPr>
            <w:r>
              <w:rPr>
                <w:rFonts w:ascii="Times New Roman" w:hAnsi="Times New Roman"/>
                <w:sz w:val="15"/>
              </w:rPr>
              <w:t>Value/form unknown; lamb-coin theory retained only as older speculation.</w:t>
            </w:r>
          </w:p>
        </w:tc>
      </w:tr>
      <w:tr>
        <w:tc>
          <w:tcPr>
            <w:tcW w:type="dxa" w:w="3552"/>
            <w:vAlign w:val="top"/>
          </w:tcPr>
          <w:p>
            <w:pPr>
              <w:spacing w:after="0"/>
            </w:pPr>
            <w:r>
              <w:rPr>
                <w:rFonts w:ascii="Times New Roman" w:hAnsi="Times New Roman"/>
                <w:sz w:val="15"/>
              </w:rPr>
              <w:t>Gen. 33:19</w:t>
            </w:r>
          </w:p>
        </w:tc>
        <w:tc>
          <w:tcPr>
            <w:tcW w:type="dxa" w:w="3552"/>
            <w:vAlign w:val="top"/>
          </w:tcPr>
          <w:p>
            <w:pPr>
              <w:spacing w:after="0"/>
            </w:pPr>
            <w:r>
              <w:rPr>
                <w:rFonts w:ascii="Times New Roman" w:hAnsi="Times New Roman"/>
                <w:sz w:val="15"/>
              </w:rPr>
              <w:t>Josh. 24:32; Acts 7:16</w:t>
            </w:r>
          </w:p>
        </w:tc>
        <w:tc>
          <w:tcPr>
            <w:tcW w:type="dxa" w:w="3552"/>
            <w:vAlign w:val="top"/>
          </w:tcPr>
          <w:p>
            <w:pPr>
              <w:spacing w:after="0"/>
            </w:pPr>
            <w:r>
              <w:rPr>
                <w:rFonts w:ascii="Times New Roman" w:hAnsi="Times New Roman"/>
                <w:sz w:val="15"/>
              </w:rPr>
              <w:t>Jacob’s purchase is explicit; Acts 7 difficulty not “solved” by forcing qanah to mean repossess.</w:t>
            </w:r>
          </w:p>
        </w:tc>
      </w:tr>
      <w:tr>
        <w:tc>
          <w:tcPr>
            <w:tcW w:type="dxa" w:w="3552"/>
            <w:vAlign w:val="top"/>
          </w:tcPr>
          <w:p>
            <w:pPr>
              <w:spacing w:after="0"/>
            </w:pPr>
            <w:r>
              <w:rPr>
                <w:rFonts w:ascii="Times New Roman" w:hAnsi="Times New Roman"/>
                <w:sz w:val="15"/>
              </w:rPr>
              <w:t>Gen. 33:20</w:t>
            </w:r>
          </w:p>
        </w:tc>
        <w:tc>
          <w:tcPr>
            <w:tcW w:type="dxa" w:w="3552"/>
            <w:vAlign w:val="top"/>
          </w:tcPr>
          <w:p>
            <w:pPr>
              <w:spacing w:after="0"/>
            </w:pPr>
            <w:r>
              <w:rPr>
                <w:rFonts w:ascii="Times New Roman" w:hAnsi="Times New Roman"/>
                <w:sz w:val="15"/>
              </w:rPr>
              <w:t>El-elohe-Israel</w:t>
            </w:r>
          </w:p>
        </w:tc>
        <w:tc>
          <w:tcPr>
            <w:tcW w:type="dxa" w:w="3552"/>
            <w:vAlign w:val="top"/>
          </w:tcPr>
          <w:p>
            <w:pPr>
              <w:spacing w:after="0"/>
            </w:pPr>
            <w:r>
              <w:rPr>
                <w:rFonts w:ascii="Times New Roman" w:hAnsi="Times New Roman"/>
                <w:sz w:val="15"/>
              </w:rPr>
              <w:t>Best straightforward sense: “El/God, the God of Israel.”</w:t>
            </w:r>
          </w:p>
        </w:tc>
      </w:tr>
    </w:tbl>
    <w:p>
      <w:pPr>
        <w:pStyle w:val="Heading1"/>
      </w:pPr>
      <w:r>
        <w:t>RESIDUAL UNCERTAINTIES</w:t>
      </w:r>
    </w:p>
    <w:p>
      <w:pPr/>
      <w:r>
        <w:rPr>
          <w:i w:val="0"/>
        </w:rPr>
        <w:t>Genesis does not tell us whether Jacob later intended to fulfil his statement about coming to Esau in Seir. The precise nature of the qesitah remains unknown. The Acts 7:16 reference to the patriarchal burial/purchase traditions at Shechem is textually and historically difficult; Mansfield’s proposed earlier Abrahamic purchase is possible but not demonstrable from Genesis 33:19. His “Burden-Bearer” explanation of Shechem is therefore preserved only as devotional typology built on the primary “shoulder/back” sense.</w:t>
      </w:r>
    </w:p>
    <w:sectPr w:rsidR="00FC693F" w:rsidRPr="0006063C" w:rsidSect="00034616">
      <w:headerReference w:type="default" r:id="rId9"/>
      <w:footerReference w:type="default" r:id="rId10"/>
      <w:pgSz w:w="12240" w:h="15840"/>
      <w:pgMar w:top="778" w:right="792" w:bottom="778" w:left="792" w:header="288" w:footer="28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sz w:val="16"/>
      </w:rP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Arial" w:hAnsi="Arial"/>
        <w:b/>
        <w:color w:val="555555"/>
        <w:sz w:val="16"/>
      </w:rPr>
      <w:t>H. P. MANSFIELD BIBLE NOTES  •  GENESIS 33</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40" w:line="240" w:lineRule="auto"/>
    </w:pPr>
    <w:rPr>
      <w:rFonts w:ascii="Times New Roman" w:hAnsi="Times New Roman"/>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80" w:after="24"/>
      <w:outlineLvl w:val="0"/>
    </w:pPr>
    <w:rPr>
      <w:rFonts w:asciiTheme="majorHAnsi" w:eastAsiaTheme="majorEastAsia" w:hAnsiTheme="majorHAnsi" w:cstheme="majorBidi" w:ascii="Arial" w:hAnsi="Arial"/>
      <w:b/>
      <w:bCs/>
      <w:color w:val="2761A1"/>
      <w:sz w:val="25"/>
      <w:szCs w:val="28"/>
    </w:rPr>
  </w:style>
  <w:style w:type="paragraph" w:styleId="Heading2">
    <w:name w:val="heading 2"/>
    <w:basedOn w:val="Normal"/>
    <w:next w:val="Normal"/>
    <w:link w:val="Heading2Char"/>
    <w:uiPriority w:val="9"/>
    <w:unhideWhenUsed/>
    <w:qFormat/>
    <w:rsid w:val="00FC693F"/>
    <w:pPr>
      <w:keepNext/>
      <w:keepLines/>
      <w:spacing w:before="48" w:after="24"/>
      <w:outlineLvl w:val="1"/>
    </w:pPr>
    <w:rPr>
      <w:rFonts w:asciiTheme="majorHAnsi" w:eastAsiaTheme="majorEastAsia" w:hAnsiTheme="majorHAnsi" w:cstheme="majorBidi" w:ascii="Arial" w:hAnsi="Arial"/>
      <w:b/>
      <w:bCs/>
      <w:color w:val="2761A1"/>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20" w:line="240" w:lineRule="auto"/>
      <w:contextualSpacing/>
    </w:pPr>
    <w:rPr>
      <w:rFonts w:asciiTheme="majorHAnsi" w:eastAsiaTheme="majorEastAsia" w:hAnsiTheme="majorHAnsi" w:cstheme="majorBidi" w:ascii="Arial" w:hAnsi="Arial"/>
      <w:b/>
      <w:color w:val="184064"/>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80"/>
    </w:pPr>
    <w:rPr>
      <w:rFonts w:asciiTheme="majorHAnsi" w:eastAsiaTheme="majorEastAsia" w:hAnsiTheme="majorHAnsi" w:cstheme="majorBidi" w:ascii="Arial" w:hAnsi="Arial"/>
      <w:b/>
      <w:i/>
      <w:iCs/>
      <w:color w:val="367ED2"/>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