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34</w:t>
      </w:r>
    </w:p>
    <w:p>
      <w:pPr>
        <w:pStyle w:val="Subtitle"/>
      </w:pPr>
      <w:r>
        <w:t>TRAGEDY AT SHECHEM • “FOLLY IN ISRAEL” • COVENANT SIGN ABUSED • GUILE AND VIOLENCE • SIMEON AND LEVI</w:t>
      </w:r>
    </w:p>
    <w:p>
      <w:pPr/>
      <w:r>
        <w:rPr>
          <w:i/>
        </w:rPr>
        <w:t>H. P. Mansfield Bible notes — checked and arranged in verse-by-verse Expositor style</w:t>
      </w:r>
    </w:p>
    <w:p>
      <w:pPr/>
      <w:r>
        <w:rPr>
          <w:i w:val="0"/>
        </w:rPr>
        <w:t>Source: HPB 01-Gen01-Gen41.PDF, principally Genesis 34 photographed pages 88–90</w:t>
      </w:r>
    </w:p>
    <w:p>
      <w:pPr>
        <w:pStyle w:val="Heading1"/>
      </w:pPr>
      <w:r>
        <w:t>CHAPTER OVERVIEW</w:t>
      </w:r>
    </w:p>
    <w:p>
      <w:pPr/>
      <w:r>
        <w:rPr>
          <w:i w:val="0"/>
        </w:rPr>
        <w:t>Genesis 34 is one of the bleakest chapters in the patriarchal history. Dinah’s contact with the daughters of the land provides the setting, but it does not transfer responsibility for what Shechem does to her. Shechem violates Dinah; Jacob’s sons then answer genuine outrage with deceit, misuse the covenant sign of circumcision, massacre the men of the city and plunder the survivors. No human party is idealised.</w:t>
      </w:r>
    </w:p>
    <w:p>
      <w:pPr/>
      <w:r>
        <w:rPr>
          <w:i w:val="0"/>
        </w:rPr>
        <w:t>Mansfield’s heading “Tragedy at Shechem” is therefore appropriate. The chapter warns both against assimilation with the surrounding culture and against claiming spiritual justification for treachery or uncontrolled vengeance. Jacob’s later words in Genesis 49:5–7 provide the fullest inspired judgment on Simeon and Levi.</w:t>
      </w:r>
    </w:p>
    <w:p>
      <w:pPr>
        <w:pStyle w:val="Heading1"/>
      </w:pPr>
      <w:r>
        <w:t>DINAH AND SHECHEM — GENESIS 34:1–6</w:t>
      </w:r>
    </w:p>
    <w:p>
      <w:pPr>
        <w:pStyle w:val="Heading2"/>
      </w:pPr>
      <w:r>
        <w:t>Genesis 34:1 — “to see the daughters of the land”</w:t>
      </w:r>
    </w:p>
    <w:p>
      <w:pPr/>
      <w:r>
        <w:rPr>
          <w:i w:val="0"/>
        </w:rPr>
        <w:t>Dinah, Leah’s daughter, goes out “to see the daughters of the land.” Mansfield reads this as a warning about careless social assimilation. That lesson belongs to the family context, but it must not be used to imply that Dinah caused or deserved the violence that follows. The wrongdoing of verse 2 belongs to Shechem.</w:t>
      </w:r>
    </w:p>
    <w:p>
      <w:pPr>
        <w:pStyle w:val="Heading2"/>
      </w:pPr>
      <w:r>
        <w:t>Genesis 34:2 — violation and humiliation</w:t>
      </w:r>
    </w:p>
    <w:p>
      <w:pPr/>
      <w:r>
        <w:rPr>
          <w:i w:val="0"/>
        </w:rPr>
        <w:t>Shechem, son of Hamor the Hivite, sees Dinah, takes her, lies with her and “defiles” her. The Hebrew verb here is from ‘anah, to afflict, humble or humiliate; in this sexual context it describes violation and degradation. Verse 5 later uses a different verb, tame’, to render unclean/defile. Mansfield is therefore right to distinguish the act from Shechem’s later affection: subsequent love does not erase the original wrong.</w:t>
      </w:r>
    </w:p>
    <w:p>
      <w:pPr>
        <w:pStyle w:val="Heading2"/>
      </w:pPr>
      <w:r>
        <w:t>Genesis 34:3–6 — affection after wrongdoing does not undo it</w:t>
      </w:r>
    </w:p>
    <w:p>
      <w:pPr/>
      <w:r>
        <w:rPr>
          <w:i w:val="0"/>
        </w:rPr>
        <w:t>Shechem’s soul then clings to Dinah; he loves the young woman and “spake kindly” — literally, spoke to her heart. He asks Hamor to obtain her as his wife. Hamor approaches Jacob to negotiate, while Dinah remains in Shechem’s house until verse 26. Jacob hears what has happened and waits for his sons to return from the field.</w:t>
      </w:r>
    </w:p>
    <w:p>
      <w:pPr>
        <w:pStyle w:val="Heading1"/>
      </w:pPr>
      <w:r>
        <w:t>“FOLLY IN ISRAEL” — GENESIS 34:7–12</w:t>
      </w:r>
    </w:p>
    <w:p>
      <w:pPr>
        <w:pStyle w:val="Heading2"/>
      </w:pPr>
      <w:r>
        <w:t>Genesis 34:7 — nebalah: moral outrage, not simple foolishness</w:t>
      </w:r>
    </w:p>
    <w:p>
      <w:pPr/>
      <w:r>
        <w:rPr>
          <w:i w:val="0"/>
        </w:rPr>
        <w:t>Jacob’s sons return grieved and very angry because Shechem has “wrought folly in Israel.” Nebalah denotes disgraceful wickedness, moral outrage or senseless impiety, not mere intellectual foolishness. The same expression later marks conduct fundamentally incompatible with Israel’s covenant identity (Deuteronomy 22:21; Joshua 7:15; Judges 19:23; 2 Samuel 13:12).</w:t>
      </w:r>
    </w:p>
    <w:p>
      <w:pPr/>
      <w:r>
        <w:rPr>
          <w:i w:val="0"/>
        </w:rPr>
        <w:t>The phrase is especially important here because Israel is still a family rather than a nation. The transformed name given to Jacob already supplies a moral identity for the household: there are things which “ought not to be done” among those who bear it.</w:t>
      </w:r>
    </w:p>
    <w:p>
      <w:pPr>
        <w:pStyle w:val="Heading2"/>
      </w:pPr>
      <w:r>
        <w:t>Genesis 34:8–12 — assimilation presented attractively</w:t>
      </w:r>
    </w:p>
    <w:p>
      <w:pPr/>
      <w:r>
        <w:rPr>
          <w:i w:val="0"/>
        </w:rPr>
        <w:t>Hamor asks that Dinah be given to Shechem and broadens the proposal into intermarriage, residence, trade and acquisition of property. Shechem offers whatever dowry and gift may be demanded. The proposal is attractive precisely because it combines peace, marriage, commerce and landholding; Mansfield rightly sees the danger of losing covenant distinctiveness through apparently advantageous assimilation.</w:t>
      </w:r>
    </w:p>
    <w:p>
      <w:pPr>
        <w:pStyle w:val="Heading1"/>
      </w:pPr>
      <w:r>
        <w:t>THE DECEITFUL CONDITION — GENESIS 34:13–24</w:t>
      </w:r>
    </w:p>
    <w:p>
      <w:pPr>
        <w:pStyle w:val="Heading2"/>
      </w:pPr>
      <w:r>
        <w:t>Genesis 34:13–17 — circumcision turned into a weapon</w:t>
      </w:r>
    </w:p>
    <w:p>
      <w:pPr/>
      <w:r>
        <w:rPr>
          <w:i w:val="0"/>
        </w:rPr>
        <w:t>The text explicitly says Jacob’s sons answer “deceitfully” because Shechem had defiled Dinah. They demand circumcision of every male as the price of intermarriage and becoming “one people.” Circumcision had been given in Genesis 17 as the sign of God’s covenant with Abraham. To use that sacred sign as camouflage for revenge is therefore a profound corruption of the covenant rather than zeal for it.</w:t>
      </w:r>
    </w:p>
    <w:p>
      <w:pPr/>
      <w:r>
        <w:rPr>
          <w:i w:val="0"/>
        </w:rPr>
        <w:t>Their stated objection to giving a daughter to an uncircumcised man reflects covenant separation, but a true principle does not sanctify a false method. Genesis 49:5–7 later rejects the violence of Simeon and Levi rather than blessing it.</w:t>
      </w:r>
    </w:p>
    <w:p>
      <w:pPr>
        <w:pStyle w:val="Heading2"/>
      </w:pPr>
      <w:r>
        <w:t>Genesis 34:18–19 — Shechem accepts without delay</w:t>
      </w:r>
    </w:p>
    <w:p>
      <w:pPr/>
      <w:r>
        <w:rPr>
          <w:i w:val="0"/>
        </w:rPr>
        <w:t>Hamor and Shechem accept the proposal. Shechem “deferred not” because he delighted in Dinah and was honoured in his father’s household. His willingness to make restitution and seek marriage is better than indifference to the harm he caused, but it cannot retrospectively make the original violation righteous.</w:t>
      </w:r>
    </w:p>
    <w:p>
      <w:pPr>
        <w:pStyle w:val="Heading2"/>
      </w:pPr>
      <w:r>
        <w:t>Genesis 34:20–24 — the city persuaded by advantage</w:t>
      </w:r>
    </w:p>
    <w:p>
      <w:pPr/>
      <w:r>
        <w:rPr>
          <w:i w:val="0"/>
        </w:rPr>
        <w:t>At the city gate Hamor and Shechem present Jacob’s household as peaceable and argue that there is ample land for both peoples. The decisive appeal then becomes commercial: “shall not their cattle and their substance and every beast of theirs be ours?” The men consent and are circumcised. The proposed merger is therefore driven by self-interest on the Hivite side as well as concealed vengeance on the sons of Jacob’s side.</w:t>
      </w:r>
    </w:p>
    <w:p>
      <w:pPr>
        <w:pStyle w:val="Heading1"/>
      </w:pPr>
      <w:r>
        <w:t>GUILE BECOMES VIOLENCE — GENESIS 34:25–29</w:t>
      </w:r>
    </w:p>
    <w:p>
      <w:pPr>
        <w:pStyle w:val="Heading2"/>
      </w:pPr>
      <w:r>
        <w:t>Genesis 34:25–26 — massacre on the third day</w:t>
      </w:r>
    </w:p>
    <w:p>
      <w:pPr/>
      <w:r>
        <w:rPr>
          <w:i w:val="0"/>
        </w:rPr>
        <w:t>On the third day, while the circumcised men are in pain, Simeon and Levi take swords, enter the city and kill all the males, including Hamor and Shechem, and remove Dinah from Shechem’s house. The KJV says they came “boldly”; the Hebrew betach is better understood as securely, confidently or unsuspectedly. There is little moral courage in attacking men rendered incapable of resistance by a rite obtained through deceit.</w:t>
      </w:r>
    </w:p>
    <w:p>
      <w:pPr/>
      <w:r>
        <w:rPr>
          <w:i w:val="0"/>
        </w:rPr>
        <w:t>Mansfield sometimes argues that Dinah’s detention and the covenant sign placed the city under special judgment. Those considerations do not remove the inspired later condemnation of Simeon and Levi’s anger and cruelty in Genesis 49:5–7. Their action cannot be turned into a divinely authorised holy war.</w:t>
      </w:r>
    </w:p>
    <w:p>
      <w:pPr>
        <w:pStyle w:val="Heading2"/>
      </w:pPr>
      <w:r>
        <w:t>Genesis 34:27–29 — vengeance expands into plunder and captivity</w:t>
      </w:r>
    </w:p>
    <w:p>
      <w:pPr/>
      <w:r>
        <w:rPr>
          <w:i w:val="0"/>
        </w:rPr>
        <w:t>The “sons of Jacob” then plunder the slain city because their sister had been defiled. Sheep, cattle, asses, wealth, children and women are taken. The text moves deliberately from the specific guilt of Shechem to indiscriminate violence against the wider population. Whether every brother participated to the same degree is not specified, but the narrative clearly broadens responsibility beyond Simeon and Levi for the spoiling.</w:t>
      </w:r>
    </w:p>
    <w:p>
      <w:pPr>
        <w:pStyle w:val="Heading1"/>
      </w:pPr>
      <w:r>
        <w:t>JACOB’S REBUKE — GENESIS 34:30–31</w:t>
      </w:r>
    </w:p>
    <w:p>
      <w:pPr>
        <w:pStyle w:val="Heading2"/>
      </w:pPr>
      <w:r>
        <w:t>Genesis 34:30 — “ye have troubled me”</w:t>
      </w:r>
    </w:p>
    <w:p>
      <w:pPr/>
      <w:r>
        <w:rPr>
          <w:i w:val="0"/>
        </w:rPr>
        <w:t>Jacob tells Simeon and Levi, “Ye have troubled me to make me to stink among the inhabitants of the land.” The verb behind “troubled” is associated with bringing disaster or disturbance; “to stink” is the Hebrew idiom for becoming abhorrent or odious. Jacob fears that the numerically small household will be gathered against and destroyed by the Canaanites and Perizzites.</w:t>
      </w:r>
    </w:p>
    <w:p>
      <w:pPr/>
      <w:r>
        <w:rPr>
          <w:i w:val="0"/>
        </w:rPr>
        <w:t>His rebuke here concentrates on consequences and danger. The stronger moral verdict comes later: at the end of his life Jacob says Simeon and Levi are brethren in violence, condemns their anger as fierce and their wrath as cruel, and refuses to unite his honour with their counsel (Genesis 49:5–7).</w:t>
      </w:r>
    </w:p>
    <w:p>
      <w:pPr>
        <w:pStyle w:val="Heading2"/>
      </w:pPr>
      <w:r>
        <w:t>Genesis 34:31 — a genuine grievance cannot justify treachery</w:t>
      </w:r>
    </w:p>
    <w:p>
      <w:pPr/>
      <w:r>
        <w:rPr>
          <w:i w:val="0"/>
        </w:rPr>
        <w:t>Simeon and Levi answer, “Should he deal with our sister as with an harlot?” Their outrage at the treatment of Dinah is legitimate. The chapter’s moral force lies precisely here: legitimate anger can become sinful vengeance when it abandons justice, truth and proportion.</w:t>
      </w:r>
    </w:p>
    <w:p>
      <w:pPr>
        <w:pStyle w:val="Heading1"/>
      </w:pPr>
      <w:r>
        <w:t>PRINCIPAL THEMES</w:t>
      </w:r>
    </w:p>
    <w:p>
      <w:pPr>
        <w:ind w:left="259" w:hanging="202"/>
      </w:pPr>
      <w:r>
        <w:rPr>
          <w:b/>
        </w:rPr>
        <w:t xml:space="preserve">• </w:t>
      </w:r>
      <w:r>
        <w:t>Dinah’s social contact provides context but never excuses Shechem’s violation.</w:t>
      </w:r>
    </w:p>
    <w:p>
      <w:pPr>
        <w:ind w:left="259" w:hanging="202"/>
      </w:pPr>
      <w:r>
        <w:rPr>
          <w:b/>
        </w:rPr>
        <w:t xml:space="preserve">• </w:t>
      </w:r>
      <w:r>
        <w:t>Nebalah, “folly in Israel,” denotes morally outrageous wickedness.</w:t>
      </w:r>
    </w:p>
    <w:p>
      <w:pPr>
        <w:ind w:left="259" w:hanging="202"/>
      </w:pPr>
      <w:r>
        <w:rPr>
          <w:b/>
        </w:rPr>
        <w:t xml:space="preserve">• </w:t>
      </w:r>
      <w:r>
        <w:t>Affection and proposed marriage do not erase an earlier act of sexual violence.</w:t>
      </w:r>
    </w:p>
    <w:p>
      <w:pPr>
        <w:ind w:left="259" w:hanging="202"/>
      </w:pPr>
      <w:r>
        <w:rPr>
          <w:b/>
        </w:rPr>
        <w:t xml:space="preserve">• </w:t>
      </w:r>
      <w:r>
        <w:t>The covenant sign of circumcision must never be manipulated as a tool of deceit or revenge.</w:t>
      </w:r>
    </w:p>
    <w:p>
      <w:pPr>
        <w:ind w:left="259" w:hanging="202"/>
      </w:pPr>
      <w:r>
        <w:rPr>
          <w:b/>
        </w:rPr>
        <w:t xml:space="preserve">• </w:t>
      </w:r>
      <w:r>
        <w:t>Commercial advantage and intermarriage can pressure the covenant family toward assimilation.</w:t>
      </w:r>
    </w:p>
    <w:p>
      <w:pPr>
        <w:ind w:left="259" w:hanging="202"/>
      </w:pPr>
      <w:r>
        <w:rPr>
          <w:b/>
        </w:rPr>
        <w:t xml:space="preserve">• </w:t>
      </w:r>
      <w:r>
        <w:t>Simeon and Levi turn righteous anger into treacherous and disproportionate violence.</w:t>
      </w:r>
    </w:p>
    <w:p>
      <w:pPr>
        <w:ind w:left="259" w:hanging="202"/>
      </w:pPr>
      <w:r>
        <w:rPr>
          <w:b/>
        </w:rPr>
        <w:t xml:space="preserve">• </w:t>
      </w:r>
      <w:r>
        <w:t>Genesis 49:5–7 supplies the later inspired condemnation of their anger and cruelty.</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34:1</w:t>
            </w:r>
          </w:p>
        </w:tc>
        <w:tc>
          <w:tcPr>
            <w:tcW w:type="dxa" w:w="3552"/>
            <w:vAlign w:val="top"/>
          </w:tcPr>
          <w:p>
            <w:pPr>
              <w:spacing w:after="0"/>
            </w:pPr>
            <w:r>
              <w:rPr>
                <w:rFonts w:ascii="Times New Roman" w:hAnsi="Times New Roman"/>
                <w:sz w:val="15"/>
              </w:rPr>
              <w:t>context, not blame</w:t>
            </w:r>
          </w:p>
        </w:tc>
        <w:tc>
          <w:tcPr>
            <w:tcW w:type="dxa" w:w="3552"/>
            <w:vAlign w:val="top"/>
          </w:tcPr>
          <w:p>
            <w:pPr>
              <w:spacing w:after="0"/>
            </w:pPr>
            <w:r>
              <w:rPr>
                <w:rFonts w:ascii="Times New Roman" w:hAnsi="Times New Roman"/>
                <w:sz w:val="15"/>
              </w:rPr>
              <w:t>Dinah’s going out does not shift responsibility for Shechem’s act.</w:t>
            </w:r>
          </w:p>
        </w:tc>
      </w:tr>
      <w:tr>
        <w:tc>
          <w:tcPr>
            <w:tcW w:type="dxa" w:w="3552"/>
            <w:vAlign w:val="top"/>
          </w:tcPr>
          <w:p>
            <w:pPr>
              <w:spacing w:after="0"/>
            </w:pPr>
            <w:r>
              <w:rPr>
                <w:rFonts w:ascii="Times New Roman" w:hAnsi="Times New Roman"/>
                <w:sz w:val="15"/>
              </w:rPr>
              <w:t>Gen. 34:2</w:t>
            </w:r>
          </w:p>
        </w:tc>
        <w:tc>
          <w:tcPr>
            <w:tcW w:type="dxa" w:w="3552"/>
            <w:vAlign w:val="top"/>
          </w:tcPr>
          <w:p>
            <w:pPr>
              <w:spacing w:after="0"/>
            </w:pPr>
            <w:r>
              <w:rPr>
                <w:rFonts w:ascii="Times New Roman" w:hAnsi="Times New Roman"/>
                <w:sz w:val="15"/>
              </w:rPr>
              <w:t>‘anah</w:t>
            </w:r>
          </w:p>
        </w:tc>
        <w:tc>
          <w:tcPr>
            <w:tcW w:type="dxa" w:w="3552"/>
            <w:vAlign w:val="top"/>
          </w:tcPr>
          <w:p>
            <w:pPr>
              <w:spacing w:after="0"/>
            </w:pPr>
            <w:r>
              <w:rPr>
                <w:rFonts w:ascii="Times New Roman" w:hAnsi="Times New Roman"/>
                <w:sz w:val="15"/>
              </w:rPr>
              <w:t>Afflict/humble/humiliate; sexual context indicates violation/degradation.</w:t>
            </w:r>
          </w:p>
        </w:tc>
      </w:tr>
      <w:tr>
        <w:tc>
          <w:tcPr>
            <w:tcW w:type="dxa" w:w="3552"/>
            <w:vAlign w:val="top"/>
          </w:tcPr>
          <w:p>
            <w:pPr>
              <w:spacing w:after="0"/>
            </w:pPr>
            <w:r>
              <w:rPr>
                <w:rFonts w:ascii="Times New Roman" w:hAnsi="Times New Roman"/>
                <w:sz w:val="15"/>
              </w:rPr>
              <w:t>Gen. 34:5</w:t>
            </w:r>
          </w:p>
        </w:tc>
        <w:tc>
          <w:tcPr>
            <w:tcW w:type="dxa" w:w="3552"/>
            <w:vAlign w:val="top"/>
          </w:tcPr>
          <w:p>
            <w:pPr>
              <w:spacing w:after="0"/>
            </w:pPr>
            <w:r>
              <w:rPr>
                <w:rFonts w:ascii="Times New Roman" w:hAnsi="Times New Roman"/>
                <w:sz w:val="15"/>
              </w:rPr>
              <w:t>tame’</w:t>
            </w:r>
          </w:p>
        </w:tc>
        <w:tc>
          <w:tcPr>
            <w:tcW w:type="dxa" w:w="3552"/>
            <w:vAlign w:val="top"/>
          </w:tcPr>
          <w:p>
            <w:pPr>
              <w:spacing w:after="0"/>
            </w:pPr>
            <w:r>
              <w:rPr>
                <w:rFonts w:ascii="Times New Roman" w:hAnsi="Times New Roman"/>
                <w:sz w:val="15"/>
              </w:rPr>
              <w:t>Different verb from v.2: to render unclean/defile.</w:t>
            </w:r>
          </w:p>
        </w:tc>
      </w:tr>
      <w:tr>
        <w:tc>
          <w:tcPr>
            <w:tcW w:type="dxa" w:w="3552"/>
            <w:vAlign w:val="top"/>
          </w:tcPr>
          <w:p>
            <w:pPr>
              <w:spacing w:after="0"/>
            </w:pPr>
            <w:r>
              <w:rPr>
                <w:rFonts w:ascii="Times New Roman" w:hAnsi="Times New Roman"/>
                <w:sz w:val="15"/>
              </w:rPr>
              <w:t>Gen. 34:3</w:t>
            </w:r>
          </w:p>
        </w:tc>
        <w:tc>
          <w:tcPr>
            <w:tcW w:type="dxa" w:w="3552"/>
            <w:vAlign w:val="top"/>
          </w:tcPr>
          <w:p>
            <w:pPr>
              <w:spacing w:after="0"/>
            </w:pPr>
            <w:r>
              <w:rPr>
                <w:rFonts w:ascii="Times New Roman" w:hAnsi="Times New Roman"/>
                <w:sz w:val="15"/>
              </w:rPr>
              <w:t>“spake to her heart”</w:t>
            </w:r>
          </w:p>
        </w:tc>
        <w:tc>
          <w:tcPr>
            <w:tcW w:type="dxa" w:w="3552"/>
            <w:vAlign w:val="top"/>
          </w:tcPr>
          <w:p>
            <w:pPr>
              <w:spacing w:after="0"/>
            </w:pPr>
            <w:r>
              <w:rPr>
                <w:rFonts w:ascii="Times New Roman" w:hAnsi="Times New Roman"/>
                <w:sz w:val="15"/>
              </w:rPr>
              <w:t>Literal idiom behind KJV “spake kindly.”</w:t>
            </w:r>
          </w:p>
        </w:tc>
      </w:tr>
      <w:tr>
        <w:tc>
          <w:tcPr>
            <w:tcW w:type="dxa" w:w="3552"/>
            <w:vAlign w:val="top"/>
          </w:tcPr>
          <w:p>
            <w:pPr>
              <w:spacing w:after="0"/>
            </w:pPr>
            <w:r>
              <w:rPr>
                <w:rFonts w:ascii="Times New Roman" w:hAnsi="Times New Roman"/>
                <w:sz w:val="15"/>
              </w:rPr>
              <w:t>Gen. 34:7</w:t>
            </w:r>
          </w:p>
        </w:tc>
        <w:tc>
          <w:tcPr>
            <w:tcW w:type="dxa" w:w="3552"/>
            <w:vAlign w:val="top"/>
          </w:tcPr>
          <w:p>
            <w:pPr>
              <w:spacing w:after="0"/>
            </w:pPr>
            <w:r>
              <w:rPr>
                <w:rFonts w:ascii="Times New Roman" w:hAnsi="Times New Roman"/>
                <w:sz w:val="15"/>
              </w:rPr>
              <w:t>nebalah</w:t>
            </w:r>
          </w:p>
        </w:tc>
        <w:tc>
          <w:tcPr>
            <w:tcW w:type="dxa" w:w="3552"/>
            <w:vAlign w:val="top"/>
          </w:tcPr>
          <w:p>
            <w:pPr>
              <w:spacing w:after="0"/>
            </w:pPr>
            <w:r>
              <w:rPr>
                <w:rFonts w:ascii="Times New Roman" w:hAnsi="Times New Roman"/>
                <w:sz w:val="15"/>
              </w:rPr>
              <w:t>Disgraceful wickedness/moral outrage, not merely foolishness.</w:t>
            </w:r>
          </w:p>
        </w:tc>
      </w:tr>
      <w:tr>
        <w:tc>
          <w:tcPr>
            <w:tcW w:type="dxa" w:w="3552"/>
            <w:vAlign w:val="top"/>
          </w:tcPr>
          <w:p>
            <w:pPr>
              <w:spacing w:after="0"/>
            </w:pPr>
            <w:r>
              <w:rPr>
                <w:rFonts w:ascii="Times New Roman" w:hAnsi="Times New Roman"/>
                <w:sz w:val="15"/>
              </w:rPr>
              <w:t>Gen. 34:7</w:t>
            </w:r>
          </w:p>
        </w:tc>
        <w:tc>
          <w:tcPr>
            <w:tcW w:type="dxa" w:w="3552"/>
            <w:vAlign w:val="top"/>
          </w:tcPr>
          <w:p>
            <w:pPr>
              <w:spacing w:after="0"/>
            </w:pPr>
            <w:r>
              <w:rPr>
                <w:rFonts w:ascii="Times New Roman" w:hAnsi="Times New Roman"/>
                <w:sz w:val="15"/>
              </w:rPr>
              <w:t>Deut. 22:21; Josh. 7:15; Judg. 19:23; 2 Sam. 13:12</w:t>
            </w:r>
          </w:p>
        </w:tc>
        <w:tc>
          <w:tcPr>
            <w:tcW w:type="dxa" w:w="3552"/>
            <w:vAlign w:val="top"/>
          </w:tcPr>
          <w:p>
            <w:pPr>
              <w:spacing w:after="0"/>
            </w:pPr>
            <w:r>
              <w:rPr>
                <w:rFonts w:ascii="Times New Roman" w:hAnsi="Times New Roman"/>
                <w:sz w:val="15"/>
              </w:rPr>
              <w:t>Checks later “folly in Israel” usage.</w:t>
            </w:r>
          </w:p>
        </w:tc>
      </w:tr>
      <w:tr>
        <w:tc>
          <w:tcPr>
            <w:tcW w:type="dxa" w:w="3552"/>
            <w:vAlign w:val="top"/>
          </w:tcPr>
          <w:p>
            <w:pPr>
              <w:spacing w:after="0"/>
            </w:pPr>
            <w:r>
              <w:rPr>
                <w:rFonts w:ascii="Times New Roman" w:hAnsi="Times New Roman"/>
                <w:sz w:val="15"/>
              </w:rPr>
              <w:t>Gen. 34:13</w:t>
            </w:r>
          </w:p>
        </w:tc>
        <w:tc>
          <w:tcPr>
            <w:tcW w:type="dxa" w:w="3552"/>
            <w:vAlign w:val="top"/>
          </w:tcPr>
          <w:p>
            <w:pPr>
              <w:spacing w:after="0"/>
            </w:pPr>
            <w:r>
              <w:rPr>
                <w:rFonts w:ascii="Times New Roman" w:hAnsi="Times New Roman"/>
                <w:sz w:val="15"/>
              </w:rPr>
              <w:t>deceitfully</w:t>
            </w:r>
          </w:p>
        </w:tc>
        <w:tc>
          <w:tcPr>
            <w:tcW w:type="dxa" w:w="3552"/>
            <w:vAlign w:val="top"/>
          </w:tcPr>
          <w:p>
            <w:pPr>
              <w:spacing w:after="0"/>
            </w:pPr>
            <w:r>
              <w:rPr>
                <w:rFonts w:ascii="Times New Roman" w:hAnsi="Times New Roman"/>
                <w:sz w:val="15"/>
              </w:rPr>
              <w:t>Narrator explicitly judges the brothers’ method as deceit.</w:t>
            </w:r>
          </w:p>
        </w:tc>
      </w:tr>
      <w:tr>
        <w:tc>
          <w:tcPr>
            <w:tcW w:type="dxa" w:w="3552"/>
            <w:vAlign w:val="top"/>
          </w:tcPr>
          <w:p>
            <w:pPr>
              <w:spacing w:after="0"/>
            </w:pPr>
            <w:r>
              <w:rPr>
                <w:rFonts w:ascii="Times New Roman" w:hAnsi="Times New Roman"/>
                <w:sz w:val="15"/>
              </w:rPr>
              <w:t>Gen. 34:14–17</w:t>
            </w:r>
          </w:p>
        </w:tc>
        <w:tc>
          <w:tcPr>
            <w:tcW w:type="dxa" w:w="3552"/>
            <w:vAlign w:val="top"/>
          </w:tcPr>
          <w:p>
            <w:pPr>
              <w:spacing w:after="0"/>
            </w:pPr>
            <w:r>
              <w:rPr>
                <w:rFonts w:ascii="Times New Roman" w:hAnsi="Times New Roman"/>
                <w:sz w:val="15"/>
              </w:rPr>
              <w:t>Gen. 17</w:t>
            </w:r>
          </w:p>
        </w:tc>
        <w:tc>
          <w:tcPr>
            <w:tcW w:type="dxa" w:w="3552"/>
            <w:vAlign w:val="top"/>
          </w:tcPr>
          <w:p>
            <w:pPr>
              <w:spacing w:after="0"/>
            </w:pPr>
            <w:r>
              <w:rPr>
                <w:rFonts w:ascii="Times New Roman" w:hAnsi="Times New Roman"/>
                <w:sz w:val="15"/>
              </w:rPr>
              <w:t>Circumcision was covenant sign; its use as revenge camouflage is condemned.</w:t>
            </w:r>
          </w:p>
        </w:tc>
      </w:tr>
      <w:tr>
        <w:tc>
          <w:tcPr>
            <w:tcW w:type="dxa" w:w="3552"/>
            <w:vAlign w:val="top"/>
          </w:tcPr>
          <w:p>
            <w:pPr>
              <w:spacing w:after="0"/>
            </w:pPr>
            <w:r>
              <w:rPr>
                <w:rFonts w:ascii="Times New Roman" w:hAnsi="Times New Roman"/>
                <w:sz w:val="15"/>
              </w:rPr>
              <w:t>Gen. 34:21–23</w:t>
            </w:r>
          </w:p>
        </w:tc>
        <w:tc>
          <w:tcPr>
            <w:tcW w:type="dxa" w:w="3552"/>
            <w:vAlign w:val="top"/>
          </w:tcPr>
          <w:p>
            <w:pPr>
              <w:spacing w:after="0"/>
            </w:pPr>
            <w:r>
              <w:rPr>
                <w:rFonts w:ascii="Times New Roman" w:hAnsi="Times New Roman"/>
                <w:sz w:val="15"/>
              </w:rPr>
              <w:t>economic motive</w:t>
            </w:r>
          </w:p>
        </w:tc>
        <w:tc>
          <w:tcPr>
            <w:tcW w:type="dxa" w:w="3552"/>
            <w:vAlign w:val="top"/>
          </w:tcPr>
          <w:p>
            <w:pPr>
              <w:spacing w:after="0"/>
            </w:pPr>
            <w:r>
              <w:rPr>
                <w:rFonts w:ascii="Times New Roman" w:hAnsi="Times New Roman"/>
                <w:sz w:val="15"/>
              </w:rPr>
              <w:t>City leaders explicitly appeal to trade, land and eventual possession of Jacob’s wealth.</w:t>
            </w:r>
          </w:p>
        </w:tc>
      </w:tr>
      <w:tr>
        <w:tc>
          <w:tcPr>
            <w:tcW w:type="dxa" w:w="3552"/>
            <w:vAlign w:val="top"/>
          </w:tcPr>
          <w:p>
            <w:pPr>
              <w:spacing w:after="0"/>
            </w:pPr>
            <w:r>
              <w:rPr>
                <w:rFonts w:ascii="Times New Roman" w:hAnsi="Times New Roman"/>
                <w:sz w:val="15"/>
              </w:rPr>
              <w:t>Gen. 34:25</w:t>
            </w:r>
          </w:p>
        </w:tc>
        <w:tc>
          <w:tcPr>
            <w:tcW w:type="dxa" w:w="3552"/>
            <w:vAlign w:val="top"/>
          </w:tcPr>
          <w:p>
            <w:pPr>
              <w:spacing w:after="0"/>
            </w:pPr>
            <w:r>
              <w:rPr>
                <w:rFonts w:ascii="Times New Roman" w:hAnsi="Times New Roman"/>
                <w:sz w:val="15"/>
              </w:rPr>
              <w:t>betach</w:t>
            </w:r>
          </w:p>
        </w:tc>
        <w:tc>
          <w:tcPr>
            <w:tcW w:type="dxa" w:w="3552"/>
            <w:vAlign w:val="top"/>
          </w:tcPr>
          <w:p>
            <w:pPr>
              <w:spacing w:after="0"/>
            </w:pPr>
            <w:r>
              <w:rPr>
                <w:rFonts w:ascii="Times New Roman" w:hAnsi="Times New Roman"/>
                <w:sz w:val="15"/>
              </w:rPr>
              <w:t>Better “securely/confidently/unsuspectedly” than moralised “boldly.”</w:t>
            </w:r>
          </w:p>
        </w:tc>
      </w:tr>
      <w:tr>
        <w:tc>
          <w:tcPr>
            <w:tcW w:type="dxa" w:w="3552"/>
            <w:vAlign w:val="top"/>
          </w:tcPr>
          <w:p>
            <w:pPr>
              <w:spacing w:after="0"/>
            </w:pPr>
            <w:r>
              <w:rPr>
                <w:rFonts w:ascii="Times New Roman" w:hAnsi="Times New Roman"/>
                <w:sz w:val="15"/>
              </w:rPr>
              <w:t>Gen. 34:25–29</w:t>
            </w:r>
          </w:p>
        </w:tc>
        <w:tc>
          <w:tcPr>
            <w:tcW w:type="dxa" w:w="3552"/>
            <w:vAlign w:val="top"/>
          </w:tcPr>
          <w:p>
            <w:pPr>
              <w:spacing w:after="0"/>
            </w:pPr>
            <w:r>
              <w:rPr>
                <w:rFonts w:ascii="Times New Roman" w:hAnsi="Times New Roman"/>
                <w:sz w:val="15"/>
              </w:rPr>
              <w:t>Gen. 49:5–7</w:t>
            </w:r>
          </w:p>
        </w:tc>
        <w:tc>
          <w:tcPr>
            <w:tcW w:type="dxa" w:w="3552"/>
            <w:vAlign w:val="top"/>
          </w:tcPr>
          <w:p>
            <w:pPr>
              <w:spacing w:after="0"/>
            </w:pPr>
            <w:r>
              <w:rPr>
                <w:rFonts w:ascii="Times New Roman" w:hAnsi="Times New Roman"/>
                <w:sz w:val="15"/>
              </w:rPr>
              <w:t>Later inspired verdict prevents justification of the massacre.</w:t>
            </w:r>
          </w:p>
        </w:tc>
      </w:tr>
      <w:tr>
        <w:tc>
          <w:tcPr>
            <w:tcW w:type="dxa" w:w="3552"/>
            <w:vAlign w:val="top"/>
          </w:tcPr>
          <w:p>
            <w:pPr>
              <w:spacing w:after="0"/>
            </w:pPr>
            <w:r>
              <w:rPr>
                <w:rFonts w:ascii="Times New Roman" w:hAnsi="Times New Roman"/>
                <w:sz w:val="15"/>
              </w:rPr>
              <w:t>Gen. 34:27</w:t>
            </w:r>
          </w:p>
        </w:tc>
        <w:tc>
          <w:tcPr>
            <w:tcW w:type="dxa" w:w="3552"/>
            <w:vAlign w:val="top"/>
          </w:tcPr>
          <w:p>
            <w:pPr>
              <w:spacing w:after="0"/>
            </w:pPr>
            <w:r>
              <w:rPr>
                <w:rFonts w:ascii="Times New Roman" w:hAnsi="Times New Roman"/>
                <w:sz w:val="15"/>
              </w:rPr>
              <w:t>sons of Jacob</w:t>
            </w:r>
          </w:p>
        </w:tc>
        <w:tc>
          <w:tcPr>
            <w:tcW w:type="dxa" w:w="3552"/>
            <w:vAlign w:val="top"/>
          </w:tcPr>
          <w:p>
            <w:pPr>
              <w:spacing w:after="0"/>
            </w:pPr>
            <w:r>
              <w:rPr>
                <w:rFonts w:ascii="Times New Roman" w:hAnsi="Times New Roman"/>
                <w:sz w:val="15"/>
              </w:rPr>
              <w:t>Text broadens participation in plunder; exact individual roles remain unstated.</w:t>
            </w:r>
          </w:p>
        </w:tc>
      </w:tr>
      <w:tr>
        <w:tc>
          <w:tcPr>
            <w:tcW w:type="dxa" w:w="3552"/>
            <w:vAlign w:val="top"/>
          </w:tcPr>
          <w:p>
            <w:pPr>
              <w:spacing w:after="0"/>
            </w:pPr>
            <w:r>
              <w:rPr>
                <w:rFonts w:ascii="Times New Roman" w:hAnsi="Times New Roman"/>
                <w:sz w:val="15"/>
              </w:rPr>
              <w:t>Gen. 34:30</w:t>
            </w:r>
          </w:p>
        </w:tc>
        <w:tc>
          <w:tcPr>
            <w:tcW w:type="dxa" w:w="3552"/>
            <w:vAlign w:val="top"/>
          </w:tcPr>
          <w:p>
            <w:pPr>
              <w:spacing w:after="0"/>
            </w:pPr>
            <w:r>
              <w:rPr>
                <w:rFonts w:ascii="Times New Roman" w:hAnsi="Times New Roman"/>
                <w:sz w:val="15"/>
              </w:rPr>
              <w:t>troubled / made odious</w:t>
            </w:r>
          </w:p>
        </w:tc>
        <w:tc>
          <w:tcPr>
            <w:tcW w:type="dxa" w:w="3552"/>
            <w:vAlign w:val="top"/>
          </w:tcPr>
          <w:p>
            <w:pPr>
              <w:spacing w:after="0"/>
            </w:pPr>
            <w:r>
              <w:rPr>
                <w:rFonts w:ascii="Times New Roman" w:hAnsi="Times New Roman"/>
                <w:sz w:val="15"/>
              </w:rPr>
              <w:t>Jacob stresses danger and damaged standing among surrounding peoples.</w:t>
            </w:r>
          </w:p>
        </w:tc>
      </w:tr>
      <w:tr>
        <w:tc>
          <w:tcPr>
            <w:tcW w:type="dxa" w:w="3552"/>
            <w:vAlign w:val="top"/>
          </w:tcPr>
          <w:p>
            <w:pPr>
              <w:spacing w:after="0"/>
            </w:pPr>
            <w:r>
              <w:rPr>
                <w:rFonts w:ascii="Times New Roman" w:hAnsi="Times New Roman"/>
                <w:sz w:val="15"/>
              </w:rPr>
              <w:t>Gen. 34:31</w:t>
            </w:r>
          </w:p>
        </w:tc>
        <w:tc>
          <w:tcPr>
            <w:tcW w:type="dxa" w:w="3552"/>
            <w:vAlign w:val="top"/>
          </w:tcPr>
          <w:p>
            <w:pPr>
              <w:spacing w:after="0"/>
            </w:pPr>
            <w:r>
              <w:rPr>
                <w:rFonts w:ascii="Times New Roman" w:hAnsi="Times New Roman"/>
                <w:sz w:val="15"/>
              </w:rPr>
              <w:t>legitimate grievance ≠ just method</w:t>
            </w:r>
          </w:p>
        </w:tc>
        <w:tc>
          <w:tcPr>
            <w:tcW w:type="dxa" w:w="3552"/>
            <w:vAlign w:val="top"/>
          </w:tcPr>
          <w:p>
            <w:pPr>
              <w:spacing w:after="0"/>
            </w:pPr>
            <w:r>
              <w:rPr>
                <w:rFonts w:ascii="Times New Roman" w:hAnsi="Times New Roman"/>
                <w:sz w:val="15"/>
              </w:rPr>
              <w:t>The closing question identifies the wrong but cannot vindicate treachery or massacre.</w:t>
            </w:r>
          </w:p>
        </w:tc>
      </w:tr>
    </w:tbl>
    <w:p>
      <w:pPr>
        <w:pStyle w:val="Heading1"/>
      </w:pPr>
      <w:r>
        <w:t>RESIDUAL UNCERTAINTIES</w:t>
      </w:r>
    </w:p>
    <w:p>
      <w:pPr/>
      <w:r>
        <w:rPr>
          <w:i w:val="0"/>
        </w:rPr>
        <w:t>Mansfield’s extended characterisation of the Hivites from later Joshua narratives is interpretative and should not be used as an ethnic stereotype. The exact age of Dinah is reconstructed rather than stated. The narrative does not specify the precise role of every brother in the plunder. Any attempt to treat the Shechem massacre as covenant-sanctioned judgment is inconsistent with Jacob’s explicit later condemnation of Simeon and Levi in Genesis 49:5–7.</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34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2"/>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46" w:after="22"/>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