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36</w:t>
      </w:r>
    </w:p>
    <w:p>
      <w:pPr>
        <w:pStyle w:val="Subtitle"/>
      </w:pPr>
      <w:r>
        <w:t>THE GENERATIONS OF ESAU • EDOM SETTLED IN SEIR • CHIEFS AND HORITES • KINGS BEFORE ISRAEL</w:t>
      </w:r>
    </w:p>
    <w:p>
      <w:pPr/>
      <w:r>
        <w:rPr>
          <w:i/>
        </w:rPr>
        <w:t>H. P. Mansfield Bible notes — checked and arranged in verse-by-verse Expositor style</w:t>
      </w:r>
    </w:p>
    <w:p>
      <w:pPr/>
      <w:r>
        <w:rPr>
          <w:i w:val="0"/>
        </w:rPr>
        <w:t>Source: HPB 01-Gen01-Gen41.PDF, principally Genesis 36 photographed pages 91–93</w:t>
      </w:r>
    </w:p>
    <w:p>
      <w:pPr>
        <w:pStyle w:val="Heading1"/>
      </w:pPr>
      <w:r>
        <w:t>CHAPTER OVERVIEW</w:t>
      </w:r>
    </w:p>
    <w:p>
      <w:pPr/>
      <w:r>
        <w:rPr>
          <w:i w:val="0"/>
        </w:rPr>
        <w:t>Genesis 36 deliberately pauses Jacob’s story to record the generations of Esau, “who is Edom.” Mansfield uses the chapter as a contrast: Esau’s descendants rapidly acquire territory, chiefs and kings while Jacob’s family still lives as pilgrims under promise. The genealogy therefore warns against judging the success of God’s purpose by immediate material or political prominence.</w:t>
      </w:r>
    </w:p>
    <w:p>
      <w:pPr/>
      <w:r>
        <w:rPr>
          <w:i w:val="0"/>
        </w:rPr>
        <w:t>Many older Expositor notes assign precise meanings to Edomite names or identify ancient groups with modern peoples. Those proposals are retained only where the biblical text or standard Hebrew usage makes them reasonably secure. The chapter’s major historical structure does not depend upon uncertain name-etymologies.</w:t>
      </w:r>
    </w:p>
    <w:p>
      <w:pPr>
        <w:pStyle w:val="Heading1"/>
      </w:pPr>
      <w:r>
        <w:t>ESAU’S HOUSEHOLD — GENESIS 36:1–5</w:t>
      </w:r>
    </w:p>
    <w:p>
      <w:pPr>
        <w:pStyle w:val="Heading2"/>
      </w:pPr>
      <w:r>
        <w:t>Genesis 36:1 — “Esau, who is Edom”</w:t>
      </w:r>
    </w:p>
    <w:p>
      <w:pPr/>
      <w:r>
        <w:rPr>
          <w:i w:val="0"/>
        </w:rPr>
        <w:t>The heading identifies Esau with Edom, a name tied in Genesis 25:30 to “red.” This genealogy is therefore the genealogy of the people later known as Edom. Mansfield develops Edom as a type of fleshly political power from later prophecy such as Obadiah; that is an interpretative biblical theme, not the lexical meaning of every Edomite name.</w:t>
      </w:r>
    </w:p>
    <w:p>
      <w:pPr>
        <w:pStyle w:val="Heading2"/>
      </w:pPr>
      <w:r>
        <w:t>Genesis 36:2–3 — the wives and the name problem</w:t>
      </w:r>
    </w:p>
    <w:p>
      <w:pPr/>
      <w:r>
        <w:rPr>
          <w:i w:val="0"/>
        </w:rPr>
        <w:t>Genesis 36 names Adah daughter of Elon, Aholibamah daughter of Anah, and Bashemath daughter of Ishmael. Earlier passages use different wife-names: Genesis 26:34 names Judith and Bashemath; Genesis 28:9 names Mahalath, daughter of Ishmael. Mansfield attempts to harmonise these by proposing marriage-name changes or replacement wives. Such explanations are possible, but Scripture does not explicitly tell us how every name corresponds. The safest treatment is to preserve the lists without forcing a single reconstruction.</w:t>
      </w:r>
    </w:p>
    <w:p>
      <w:pPr>
        <w:pStyle w:val="Heading2"/>
      </w:pPr>
      <w:r>
        <w:t>Genesis 36:4–5 — sons born in Canaan</w:t>
      </w:r>
    </w:p>
    <w:p>
      <w:pPr/>
      <w:r>
        <w:rPr>
          <w:i w:val="0"/>
        </w:rPr>
        <w:t>Adah bears Eliphaz, Bashemath bears Reuel, and Aholibamah bears Jeush, Jaalam and Korah. Mansfield supplies meanings such as “Strength of El” for Eliphaz and “Friend of El” for Reuel. Some of these are traditional etymologies rather than certain inspired explanations, so the genealogy itself is primary.</w:t>
      </w:r>
    </w:p>
    <w:p>
      <w:pPr>
        <w:pStyle w:val="Heading1"/>
      </w:pPr>
      <w:r>
        <w:t>ESAU SEPARATES FROM JACOB — GENESIS 36:6–8</w:t>
      </w:r>
    </w:p>
    <w:p>
      <w:pPr>
        <w:pStyle w:val="Heading2"/>
      </w:pPr>
      <w:r>
        <w:t>Genesis 36:6–7 — abundance requires separation</w:t>
      </w:r>
    </w:p>
    <w:p>
      <w:pPr/>
      <w:r>
        <w:rPr>
          <w:i w:val="0"/>
        </w:rPr>
        <w:t>Esau takes wives, children, household, cattle and possessions and moves away from Jacob because their property is too great for them to dwell together. The wording deliberately recalls the separation of Abram and Lot in Genesis 13:5–6. Wealth creates a practical need for geographic separation, but it does not determine who carries the covenant promise.</w:t>
      </w:r>
    </w:p>
    <w:p>
      <w:pPr/>
      <w:r>
        <w:rPr>
          <w:i w:val="0"/>
        </w:rPr>
        <w:t>Verse 6 uses nephesh in the plural for the “persons” or souls of Esau’s household. As throughout Genesis, nephesh can simply denote living persons; the wording gives no support to the idea of separately immortal souls.</w:t>
      </w:r>
    </w:p>
    <w:p>
      <w:pPr>
        <w:pStyle w:val="Heading2"/>
      </w:pPr>
      <w:r>
        <w:t>Genesis 36:8 — Mount Seir</w:t>
      </w:r>
    </w:p>
    <w:p>
      <w:pPr/>
      <w:r>
        <w:rPr>
          <w:i w:val="0"/>
        </w:rPr>
        <w:t>Esau settles in Mount Seir, the mountain region south and southeast of the Dead Sea toward the Arabah. Deuteronomy 2:4–5 later explicitly recognises Seir as the possession given to Esau’s descendants. “Esau is Edom” closes the section by fixing the national identity.</w:t>
      </w:r>
    </w:p>
    <w:p>
      <w:pPr>
        <w:pStyle w:val="Heading1"/>
      </w:pPr>
      <w:r>
        <w:t>ESAU’S DESCENDANTS AND CHIEFS — GENESIS 36:9–19</w:t>
      </w:r>
    </w:p>
    <w:p>
      <w:pPr>
        <w:pStyle w:val="Heading2"/>
      </w:pPr>
      <w:r>
        <w:t>Genesis 36:9–14 — Edom in Seir; Amalek appears</w:t>
      </w:r>
    </w:p>
    <w:p>
      <w:pPr/>
      <w:r>
        <w:rPr>
          <w:i w:val="0"/>
        </w:rPr>
        <w:t>Esau is called “the father of the Edomites in mount Seir.” The lines of Eliphaz and Reuel are then developed. Amalek, born to Timna and Eliphaz, is especially important because an Amalekite people later becomes a persistent enemy of Israel. Genesis 14:7, however, already refers to “the country of the Amalekites” before this Amalek’s birth; that earlier phrase may be a later geographic designation and should not be used to force a simple one-to-one chronology.</w:t>
      </w:r>
    </w:p>
    <w:p>
      <w:pPr/>
      <w:r>
        <w:rPr>
          <w:i w:val="0"/>
        </w:rPr>
        <w:t>Teman later becomes an Edomite district noted for wisdom (Jeremiah 49:7; Obadiah 8–9). Detailed meanings offered for Omar, Zepho, Gatam and other names vary between lexicons and are not necessary to the chapter’s point.</w:t>
      </w:r>
    </w:p>
    <w:p>
      <w:pPr>
        <w:pStyle w:val="Heading2"/>
      </w:pPr>
      <w:r>
        <w:t>Genesis 36:15–19 — “dukes” are chiefs</w:t>
      </w:r>
    </w:p>
    <w:p>
      <w:pPr/>
      <w:r>
        <w:rPr>
          <w:i w:val="0"/>
        </w:rPr>
        <w:t>The KJV repeatedly uses “duke.” The Hebrew plural is alluphim, meaning chiefs, clan leaders or tribal leaders. It should not be read as the later European hereditary title “duke.” The repeated title shows organised clan authority developing among Esau’s descendants before Israel has become a nation.</w:t>
      </w:r>
    </w:p>
    <w:p>
      <w:pPr>
        <w:pStyle w:val="Heading1"/>
      </w:pPr>
      <w:r>
        <w:t>THE HORITES OF SEIR — GENESIS 36:20–30</w:t>
      </w:r>
    </w:p>
    <w:p>
      <w:pPr>
        <w:pStyle w:val="Heading2"/>
      </w:pPr>
      <w:r>
        <w:t>Genesis 36:20–23 — Seir the Horite</w:t>
      </w:r>
    </w:p>
    <w:p>
      <w:pPr/>
      <w:r>
        <w:rPr>
          <w:i w:val="0"/>
        </w:rPr>
        <w:t>The genealogy of Seir the Horite is included because these inhabitants of the region become intertwined with Edom. Deuteronomy 2:12 later says the Horites formerly dwelt in Seir and that the children of Esau succeeded them. “Horite” is traditionally associated with cave-dwelling, but the exact ethnonym should not be over-explained from English “cave dweller.”</w:t>
      </w:r>
    </w:p>
    <w:p>
      <w:pPr>
        <w:pStyle w:val="Heading2"/>
      </w:pPr>
      <w:r>
        <w:t>Genesis 36:24 — the difficult yemim</w:t>
      </w:r>
    </w:p>
    <w:p>
      <w:pPr/>
      <w:r>
        <w:rPr>
          <w:i w:val="0"/>
        </w:rPr>
        <w:t>Anah is said in the KJV to have “found the mules in the wilderness.” This is a famously uncertain reading. The Hebrew term hayyemim occurs nowhere else with the meaning “mules”; the ordinary Hebrew word for mule is pered. The Revised Version follows an ancient interpretation “hot springs.” Another older proposal emends or reads the term as the Emim, a people mentioned in Genesis 14:5. None of these explanations is certain enough to state dogmatically. The document therefore preserves the textual difficulty instead of pretending it has been solved.</w:t>
      </w:r>
    </w:p>
    <w:p>
      <w:pPr>
        <w:pStyle w:val="Heading2"/>
      </w:pPr>
      <w:r>
        <w:t>Genesis 36:25–30 — chiefs of the Horites</w:t>
      </w:r>
    </w:p>
    <w:p>
      <w:pPr/>
      <w:r>
        <w:rPr>
          <w:i w:val="0"/>
        </w:rPr>
        <w:t>The Horite genealogy continues and culminates in chiefs according to their clans in Seir. Its inclusion gives the population background into which Edom expanded and with which Esau’s family intermarried. The number and organisation of chiefs contribute to the chapter’s emphasis on settled political structure.</w:t>
      </w:r>
    </w:p>
    <w:p>
      <w:pPr>
        <w:pStyle w:val="Heading1"/>
      </w:pPr>
      <w:r>
        <w:t>KINGS IN EDOM — GENESIS 36:31–39</w:t>
      </w:r>
    </w:p>
    <w:p>
      <w:pPr>
        <w:pStyle w:val="Heading2"/>
      </w:pPr>
      <w:r>
        <w:t>Genesis 36:31 — “before there reigned any king over Israel”</w:t>
      </w:r>
    </w:p>
    <w:p>
      <w:pPr/>
      <w:r>
        <w:rPr>
          <w:i w:val="0"/>
        </w:rPr>
        <w:t>The narrator specifically notes that kings reigned in Edom before any king reigned over the children of Israel. This does not require a post-Saul author. Kings had already been promised from the patriarchal line (Genesis 17:6; 35:11), and Moses himself legislates concerning a future king in Deuteronomy 17:14–20. The statement’s literary force is contrast: Edom enjoys visible monarchy while Israel is still waiting for promised national development.</w:t>
      </w:r>
    </w:p>
    <w:p>
      <w:pPr>
        <w:pStyle w:val="Heading2"/>
      </w:pPr>
      <w:r>
        <w:t>Genesis 36:32–39 — succession from different centres</w:t>
      </w:r>
    </w:p>
    <w:p>
      <w:pPr/>
      <w:r>
        <w:rPr>
          <w:i w:val="0"/>
        </w:rPr>
        <w:t>The listed kings are Bela, Jobab, Husham, Hadad, Samlah, Saul, Baal-hanan and Hadar/Hadad. The succeeding rulers are linked with different cities and fathers, so the list does not look like a simple father-to-son hereditary dynasty. Mansfield rightly notices this political feature, though exact identification of each king with extra-biblical rulers is uncertain.</w:t>
      </w:r>
    </w:p>
    <w:p>
      <w:pPr/>
      <w:r>
        <w:rPr>
          <w:i w:val="0"/>
        </w:rPr>
        <w:t>Verse 35 records Hadad defeating Midian “in the field of Moab,” evidence of Edomite military activity beyond its immediate territory. It should not be expanded into precise historical campaigns for which Genesis gives no further details.</w:t>
      </w:r>
    </w:p>
    <w:p>
      <w:pPr>
        <w:pStyle w:val="Heading1"/>
      </w:pPr>
      <w:r>
        <w:t>CHIEFS BY HABITATION — GENESIS 36:40–43</w:t>
      </w:r>
    </w:p>
    <w:p>
      <w:pPr>
        <w:pStyle w:val="Heading2"/>
      </w:pPr>
      <w:r>
        <w:t>Genesis 36:40–43 — territory and clan organisation</w:t>
      </w:r>
    </w:p>
    <w:p>
      <w:pPr/>
      <w:r>
        <w:rPr>
          <w:i w:val="0"/>
        </w:rPr>
        <w:t>The final list names chiefs according to families, places and habitations in the land of their possession. The chapter therefore moves from Esau the individual, to sons, clans, chiefs, incorporated peoples, kings and territorial leaders. It closes as it began: Esau is the father of Edom.</w:t>
      </w:r>
    </w:p>
    <w:p>
      <w:pPr>
        <w:pStyle w:val="Heading1"/>
      </w:pPr>
      <w:r>
        <w:t>ISRAEL AND EDOM — THE MANSFIELD CONTRAST</w:t>
      </w:r>
    </w:p>
    <w:p>
      <w:pPr/>
      <w:r>
        <w:rPr>
          <w:i w:val="0"/>
        </w:rPr>
        <w:t>Mansfield’s large comparison is strongest when kept at the level the narrative itself supports. Edom rapidly becomes settled, titled, territorial and royal. Jacob’s line, by contrast, is still living in tents and carrying promises whose fulfilment lies ahead. Genesis 37:1 immediately returns to Jacob dwelling as a stranger in Canaan. Visible political success therefore cannot be used as a reliable measure of covenant inheritance.</w:t>
      </w:r>
    </w:p>
    <w:p>
      <w:pPr>
        <w:pStyle w:val="Heading1"/>
      </w:pPr>
      <w:r>
        <w:t>PRINCIPAL THEMES</w:t>
      </w:r>
    </w:p>
    <w:p>
      <w:pPr>
        <w:ind w:left="259" w:hanging="202"/>
      </w:pPr>
      <w:r>
        <w:rPr>
          <w:b/>
        </w:rPr>
        <w:t xml:space="preserve">• </w:t>
      </w:r>
      <w:r>
        <w:t>Esau’s descendants become Edom, a settled people in Mount Seir.</w:t>
      </w:r>
    </w:p>
    <w:p>
      <w:pPr>
        <w:ind w:left="259" w:hanging="202"/>
      </w:pPr>
      <w:r>
        <w:rPr>
          <w:b/>
        </w:rPr>
        <w:t xml:space="preserve">• </w:t>
      </w:r>
      <w:r>
        <w:t>Material abundance can require separation without identifying the covenant heir.</w:t>
      </w:r>
    </w:p>
    <w:p>
      <w:pPr>
        <w:ind w:left="259" w:hanging="202"/>
      </w:pPr>
      <w:r>
        <w:rPr>
          <w:b/>
        </w:rPr>
        <w:t xml:space="preserve">• </w:t>
      </w:r>
      <w:r>
        <w:t>Edom develops chiefs and kings while Israel remains a pilgrim family.</w:t>
      </w:r>
    </w:p>
    <w:p>
      <w:pPr>
        <w:ind w:left="259" w:hanging="202"/>
      </w:pPr>
      <w:r>
        <w:rPr>
          <w:b/>
        </w:rPr>
        <w:t xml:space="preserve">• </w:t>
      </w:r>
      <w:r>
        <w:t>The Horite genealogy explains the population background of Edomite settlement in Seir.</w:t>
      </w:r>
    </w:p>
    <w:p>
      <w:pPr>
        <w:ind w:left="259" w:hanging="202"/>
      </w:pPr>
      <w:r>
        <w:rPr>
          <w:b/>
        </w:rPr>
        <w:t xml:space="preserve">• </w:t>
      </w:r>
      <w:r>
        <w:t>Genesis 36:24 contains a genuine lexical difficulty that should remain openly uncertain.</w:t>
      </w:r>
    </w:p>
    <w:p>
      <w:pPr>
        <w:ind w:left="259" w:hanging="202"/>
      </w:pPr>
      <w:r>
        <w:rPr>
          <w:b/>
        </w:rPr>
        <w:t xml:space="preserve">• </w:t>
      </w:r>
      <w:r>
        <w:t>Kingship in Edom precedes Israel’s monarchy without undermining Mosaic authorship.</w:t>
      </w:r>
    </w:p>
    <w:p>
      <w:pPr>
        <w:ind w:left="259" w:hanging="202"/>
      </w:pPr>
      <w:r>
        <w:rPr>
          <w:b/>
        </w:rPr>
        <w:t xml:space="preserve">• </w:t>
      </w:r>
      <w:r>
        <w:t>Immediate political strength is not the same thing as ultimate covenant inheritance.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36:1</w:t>
            </w:r>
          </w:p>
        </w:tc>
        <w:tc>
          <w:tcPr>
            <w:tcW w:type="dxa" w:w="3552"/>
            <w:vAlign w:val="top"/>
          </w:tcPr>
          <w:p>
            <w:pPr>
              <w:spacing w:after="0"/>
            </w:pPr>
            <w:r>
              <w:rPr>
                <w:rFonts w:ascii="Times New Roman" w:hAnsi="Times New Roman"/>
                <w:sz w:val="15"/>
              </w:rPr>
              <w:t>Edom = red</w:t>
            </w:r>
          </w:p>
        </w:tc>
        <w:tc>
          <w:tcPr>
            <w:tcW w:type="dxa" w:w="3552"/>
            <w:vAlign w:val="top"/>
          </w:tcPr>
          <w:p>
            <w:pPr>
              <w:spacing w:after="0"/>
            </w:pPr>
            <w:r>
              <w:rPr>
                <w:rFonts w:ascii="Times New Roman" w:hAnsi="Times New Roman"/>
                <w:sz w:val="15"/>
              </w:rPr>
              <w:t>Directly connected with the Genesis 25:30 naming episode.</w:t>
            </w:r>
          </w:p>
        </w:tc>
      </w:tr>
      <w:tr>
        <w:tc>
          <w:tcPr>
            <w:tcW w:type="dxa" w:w="3552"/>
            <w:vAlign w:val="top"/>
          </w:tcPr>
          <w:p>
            <w:pPr>
              <w:spacing w:after="0"/>
            </w:pPr>
            <w:r>
              <w:rPr>
                <w:rFonts w:ascii="Times New Roman" w:hAnsi="Times New Roman"/>
                <w:sz w:val="15"/>
              </w:rPr>
              <w:t>Gen. 36:2–3</w:t>
            </w:r>
          </w:p>
        </w:tc>
        <w:tc>
          <w:tcPr>
            <w:tcW w:type="dxa" w:w="3552"/>
            <w:vAlign w:val="top"/>
          </w:tcPr>
          <w:p>
            <w:pPr>
              <w:spacing w:after="0"/>
            </w:pPr>
            <w:r>
              <w:rPr>
                <w:rFonts w:ascii="Times New Roman" w:hAnsi="Times New Roman"/>
                <w:sz w:val="15"/>
              </w:rPr>
              <w:t>Gen. 26:34; 28:9</w:t>
            </w:r>
          </w:p>
        </w:tc>
        <w:tc>
          <w:tcPr>
            <w:tcW w:type="dxa" w:w="3552"/>
            <w:vAlign w:val="top"/>
          </w:tcPr>
          <w:p>
            <w:pPr>
              <w:spacing w:after="0"/>
            </w:pPr>
            <w:r>
              <w:rPr>
                <w:rFonts w:ascii="Times New Roman" w:hAnsi="Times New Roman"/>
                <w:sz w:val="15"/>
              </w:rPr>
              <w:t>Wife-name variations are real; Mansfield’s harmonisation retained only as possible.</w:t>
            </w:r>
          </w:p>
        </w:tc>
      </w:tr>
      <w:tr>
        <w:tc>
          <w:tcPr>
            <w:tcW w:type="dxa" w:w="3552"/>
            <w:vAlign w:val="top"/>
          </w:tcPr>
          <w:p>
            <w:pPr>
              <w:spacing w:after="0"/>
            </w:pPr>
            <w:r>
              <w:rPr>
                <w:rFonts w:ascii="Times New Roman" w:hAnsi="Times New Roman"/>
                <w:sz w:val="15"/>
              </w:rPr>
              <w:t>Gen. 36:6</w:t>
            </w:r>
          </w:p>
        </w:tc>
        <w:tc>
          <w:tcPr>
            <w:tcW w:type="dxa" w:w="3552"/>
            <w:vAlign w:val="top"/>
          </w:tcPr>
          <w:p>
            <w:pPr>
              <w:spacing w:after="0"/>
            </w:pPr>
            <w:r>
              <w:rPr>
                <w:rFonts w:ascii="Times New Roman" w:hAnsi="Times New Roman"/>
                <w:sz w:val="15"/>
              </w:rPr>
              <w:t>nepheshoth</w:t>
            </w:r>
          </w:p>
        </w:tc>
        <w:tc>
          <w:tcPr>
            <w:tcW w:type="dxa" w:w="3552"/>
            <w:vAlign w:val="top"/>
          </w:tcPr>
          <w:p>
            <w:pPr>
              <w:spacing w:after="0"/>
            </w:pPr>
            <w:r>
              <w:rPr>
                <w:rFonts w:ascii="Times New Roman" w:hAnsi="Times New Roman"/>
                <w:sz w:val="15"/>
              </w:rPr>
              <w:t>“Persons/souls” = living members of the household, not immortal entities.</w:t>
            </w:r>
          </w:p>
        </w:tc>
      </w:tr>
      <w:tr>
        <w:tc>
          <w:tcPr>
            <w:tcW w:type="dxa" w:w="3552"/>
            <w:vAlign w:val="top"/>
          </w:tcPr>
          <w:p>
            <w:pPr>
              <w:spacing w:after="0"/>
            </w:pPr>
            <w:r>
              <w:rPr>
                <w:rFonts w:ascii="Times New Roman" w:hAnsi="Times New Roman"/>
                <w:sz w:val="15"/>
              </w:rPr>
              <w:t>Gen. 36:7</w:t>
            </w:r>
          </w:p>
        </w:tc>
        <w:tc>
          <w:tcPr>
            <w:tcW w:type="dxa" w:w="3552"/>
            <w:vAlign w:val="top"/>
          </w:tcPr>
          <w:p>
            <w:pPr>
              <w:spacing w:after="0"/>
            </w:pPr>
            <w:r>
              <w:rPr>
                <w:rFonts w:ascii="Times New Roman" w:hAnsi="Times New Roman"/>
                <w:sz w:val="15"/>
              </w:rPr>
              <w:t>Gen. 13:5–6</w:t>
            </w:r>
          </w:p>
        </w:tc>
        <w:tc>
          <w:tcPr>
            <w:tcW w:type="dxa" w:w="3552"/>
            <w:vAlign w:val="top"/>
          </w:tcPr>
          <w:p>
            <w:pPr>
              <w:spacing w:after="0"/>
            </w:pPr>
            <w:r>
              <w:rPr>
                <w:rFonts w:ascii="Times New Roman" w:hAnsi="Times New Roman"/>
                <w:sz w:val="15"/>
              </w:rPr>
              <w:t>Clear structural parallel: abundance makes joint residence impractical.</w:t>
            </w:r>
          </w:p>
        </w:tc>
      </w:tr>
      <w:tr>
        <w:tc>
          <w:tcPr>
            <w:tcW w:type="dxa" w:w="3552"/>
            <w:vAlign w:val="top"/>
          </w:tcPr>
          <w:p>
            <w:pPr>
              <w:spacing w:after="0"/>
            </w:pPr>
            <w:r>
              <w:rPr>
                <w:rFonts w:ascii="Times New Roman" w:hAnsi="Times New Roman"/>
                <w:sz w:val="15"/>
              </w:rPr>
              <w:t>Gen. 36:8</w:t>
            </w:r>
          </w:p>
        </w:tc>
        <w:tc>
          <w:tcPr>
            <w:tcW w:type="dxa" w:w="3552"/>
            <w:vAlign w:val="top"/>
          </w:tcPr>
          <w:p>
            <w:pPr>
              <w:spacing w:after="0"/>
            </w:pPr>
            <w:r>
              <w:rPr>
                <w:rFonts w:ascii="Times New Roman" w:hAnsi="Times New Roman"/>
                <w:sz w:val="15"/>
              </w:rPr>
              <w:t>Deut. 2:4–5</w:t>
            </w:r>
          </w:p>
        </w:tc>
        <w:tc>
          <w:tcPr>
            <w:tcW w:type="dxa" w:w="3552"/>
            <w:vAlign w:val="top"/>
          </w:tcPr>
          <w:p>
            <w:pPr>
              <w:spacing w:after="0"/>
            </w:pPr>
            <w:r>
              <w:rPr>
                <w:rFonts w:ascii="Times New Roman" w:hAnsi="Times New Roman"/>
                <w:sz w:val="15"/>
              </w:rPr>
              <w:t>Seir explicitly identified as Esau’s possession.</w:t>
            </w:r>
          </w:p>
        </w:tc>
      </w:tr>
      <w:tr>
        <w:tc>
          <w:tcPr>
            <w:tcW w:type="dxa" w:w="3552"/>
            <w:vAlign w:val="top"/>
          </w:tcPr>
          <w:p>
            <w:pPr>
              <w:spacing w:after="0"/>
            </w:pPr>
            <w:r>
              <w:rPr>
                <w:rFonts w:ascii="Times New Roman" w:hAnsi="Times New Roman"/>
                <w:sz w:val="15"/>
              </w:rPr>
              <w:t>Gen. 36:12</w:t>
            </w:r>
          </w:p>
        </w:tc>
        <w:tc>
          <w:tcPr>
            <w:tcW w:type="dxa" w:w="3552"/>
            <w:vAlign w:val="top"/>
          </w:tcPr>
          <w:p>
            <w:pPr>
              <w:spacing w:after="0"/>
            </w:pPr>
            <w:r>
              <w:rPr>
                <w:rFonts w:ascii="Times New Roman" w:hAnsi="Times New Roman"/>
                <w:sz w:val="15"/>
              </w:rPr>
              <w:t>Gen. 14:7</w:t>
            </w:r>
          </w:p>
        </w:tc>
        <w:tc>
          <w:tcPr>
            <w:tcW w:type="dxa" w:w="3552"/>
            <w:vAlign w:val="top"/>
          </w:tcPr>
          <w:p>
            <w:pPr>
              <w:spacing w:after="0"/>
            </w:pPr>
            <w:r>
              <w:rPr>
                <w:rFonts w:ascii="Times New Roman" w:hAnsi="Times New Roman"/>
                <w:sz w:val="15"/>
              </w:rPr>
              <w:t>Earlier “Amalekites” reference cannot simply be equated chronologically with this individual Amalek.</w:t>
            </w:r>
          </w:p>
        </w:tc>
      </w:tr>
      <w:tr>
        <w:tc>
          <w:tcPr>
            <w:tcW w:type="dxa" w:w="3552"/>
            <w:vAlign w:val="top"/>
          </w:tcPr>
          <w:p>
            <w:pPr>
              <w:spacing w:after="0"/>
            </w:pPr>
            <w:r>
              <w:rPr>
                <w:rFonts w:ascii="Times New Roman" w:hAnsi="Times New Roman"/>
                <w:sz w:val="15"/>
              </w:rPr>
              <w:t>Gen. 36:15–19</w:t>
            </w:r>
          </w:p>
        </w:tc>
        <w:tc>
          <w:tcPr>
            <w:tcW w:type="dxa" w:w="3552"/>
            <w:vAlign w:val="top"/>
          </w:tcPr>
          <w:p>
            <w:pPr>
              <w:spacing w:after="0"/>
            </w:pPr>
            <w:r>
              <w:rPr>
                <w:rFonts w:ascii="Times New Roman" w:hAnsi="Times New Roman"/>
                <w:sz w:val="15"/>
              </w:rPr>
              <w:t>alluphim</w:t>
            </w:r>
          </w:p>
        </w:tc>
        <w:tc>
          <w:tcPr>
            <w:tcW w:type="dxa" w:w="3552"/>
            <w:vAlign w:val="top"/>
          </w:tcPr>
          <w:p>
            <w:pPr>
              <w:spacing w:after="0"/>
            </w:pPr>
            <w:r>
              <w:rPr>
                <w:rFonts w:ascii="Times New Roman" w:hAnsi="Times New Roman"/>
                <w:sz w:val="15"/>
              </w:rPr>
              <w:t>KJV “dukes” = chiefs/clan leaders, not European-style dukes.</w:t>
            </w:r>
          </w:p>
        </w:tc>
      </w:tr>
      <w:tr>
        <w:tc>
          <w:tcPr>
            <w:tcW w:type="dxa" w:w="3552"/>
            <w:vAlign w:val="top"/>
          </w:tcPr>
          <w:p>
            <w:pPr>
              <w:spacing w:after="0"/>
            </w:pPr>
            <w:r>
              <w:rPr>
                <w:rFonts w:ascii="Times New Roman" w:hAnsi="Times New Roman"/>
                <w:sz w:val="15"/>
              </w:rPr>
              <w:t>Gen. 36:20–30</w:t>
            </w:r>
          </w:p>
        </w:tc>
        <w:tc>
          <w:tcPr>
            <w:tcW w:type="dxa" w:w="3552"/>
            <w:vAlign w:val="top"/>
          </w:tcPr>
          <w:p>
            <w:pPr>
              <w:spacing w:after="0"/>
            </w:pPr>
            <w:r>
              <w:rPr>
                <w:rFonts w:ascii="Times New Roman" w:hAnsi="Times New Roman"/>
                <w:sz w:val="15"/>
              </w:rPr>
              <w:t>Deut. 2:12</w:t>
            </w:r>
          </w:p>
        </w:tc>
        <w:tc>
          <w:tcPr>
            <w:tcW w:type="dxa" w:w="3552"/>
            <w:vAlign w:val="top"/>
          </w:tcPr>
          <w:p>
            <w:pPr>
              <w:spacing w:after="0"/>
            </w:pPr>
            <w:r>
              <w:rPr>
                <w:rFonts w:ascii="Times New Roman" w:hAnsi="Times New Roman"/>
                <w:sz w:val="15"/>
              </w:rPr>
              <w:t>Horites preceded Esau’s descendants in Seir and were displaced/incorporated.</w:t>
            </w:r>
          </w:p>
        </w:tc>
      </w:tr>
      <w:tr>
        <w:tc>
          <w:tcPr>
            <w:tcW w:type="dxa" w:w="3552"/>
            <w:vAlign w:val="top"/>
          </w:tcPr>
          <w:p>
            <w:pPr>
              <w:spacing w:after="0"/>
            </w:pPr>
            <w:r>
              <w:rPr>
                <w:rFonts w:ascii="Times New Roman" w:hAnsi="Times New Roman"/>
                <w:sz w:val="15"/>
              </w:rPr>
              <w:t>Gen. 36:24</w:t>
            </w:r>
          </w:p>
        </w:tc>
        <w:tc>
          <w:tcPr>
            <w:tcW w:type="dxa" w:w="3552"/>
            <w:vAlign w:val="top"/>
          </w:tcPr>
          <w:p>
            <w:pPr>
              <w:spacing w:after="0"/>
            </w:pPr>
            <w:r>
              <w:rPr>
                <w:rFonts w:ascii="Times New Roman" w:hAnsi="Times New Roman"/>
                <w:sz w:val="15"/>
              </w:rPr>
              <w:t>hayyemim / pered</w:t>
            </w:r>
          </w:p>
        </w:tc>
        <w:tc>
          <w:tcPr>
            <w:tcW w:type="dxa" w:w="3552"/>
            <w:vAlign w:val="top"/>
          </w:tcPr>
          <w:p>
            <w:pPr>
              <w:spacing w:after="0"/>
            </w:pPr>
            <w:r>
              <w:rPr>
                <w:rFonts w:ascii="Times New Roman" w:hAnsi="Times New Roman"/>
                <w:sz w:val="15"/>
              </w:rPr>
              <w:t>KJV “mules” is lexically problematic; hot springs/Emim proposals remain uncertain.</w:t>
            </w:r>
          </w:p>
        </w:tc>
      </w:tr>
      <w:tr>
        <w:tc>
          <w:tcPr>
            <w:tcW w:type="dxa" w:w="3552"/>
            <w:vAlign w:val="top"/>
          </w:tcPr>
          <w:p>
            <w:pPr>
              <w:spacing w:after="0"/>
            </w:pPr>
            <w:r>
              <w:rPr>
                <w:rFonts w:ascii="Times New Roman" w:hAnsi="Times New Roman"/>
                <w:sz w:val="15"/>
              </w:rPr>
              <w:t>Gen. 36:31</w:t>
            </w:r>
          </w:p>
        </w:tc>
        <w:tc>
          <w:tcPr>
            <w:tcW w:type="dxa" w:w="3552"/>
            <w:vAlign w:val="top"/>
          </w:tcPr>
          <w:p>
            <w:pPr>
              <w:spacing w:after="0"/>
            </w:pPr>
            <w:r>
              <w:rPr>
                <w:rFonts w:ascii="Times New Roman" w:hAnsi="Times New Roman"/>
                <w:sz w:val="15"/>
              </w:rPr>
              <w:t>Gen. 35:11; Deut. 17:14–20</w:t>
            </w:r>
          </w:p>
        </w:tc>
        <w:tc>
          <w:tcPr>
            <w:tcW w:type="dxa" w:w="3552"/>
            <w:vAlign w:val="top"/>
          </w:tcPr>
          <w:p>
            <w:pPr>
              <w:spacing w:after="0"/>
            </w:pPr>
            <w:r>
              <w:rPr>
                <w:rFonts w:ascii="Times New Roman" w:hAnsi="Times New Roman"/>
                <w:sz w:val="15"/>
              </w:rPr>
              <w:t>A future Israelite kingship was already anticipated before Saul.</w:t>
            </w:r>
          </w:p>
        </w:tc>
      </w:tr>
      <w:tr>
        <w:tc>
          <w:tcPr>
            <w:tcW w:type="dxa" w:w="3552"/>
            <w:vAlign w:val="top"/>
          </w:tcPr>
          <w:p>
            <w:pPr>
              <w:spacing w:after="0"/>
            </w:pPr>
            <w:r>
              <w:rPr>
                <w:rFonts w:ascii="Times New Roman" w:hAnsi="Times New Roman"/>
                <w:sz w:val="15"/>
              </w:rPr>
              <w:t>Gen. 36:32–39</w:t>
            </w:r>
          </w:p>
        </w:tc>
        <w:tc>
          <w:tcPr>
            <w:tcW w:type="dxa" w:w="3552"/>
            <w:vAlign w:val="top"/>
          </w:tcPr>
          <w:p>
            <w:pPr>
              <w:spacing w:after="0"/>
            </w:pPr>
            <w:r>
              <w:rPr>
                <w:rFonts w:ascii="Times New Roman" w:hAnsi="Times New Roman"/>
                <w:sz w:val="15"/>
              </w:rPr>
              <w:t>non-hereditary appearance</w:t>
            </w:r>
          </w:p>
        </w:tc>
        <w:tc>
          <w:tcPr>
            <w:tcW w:type="dxa" w:w="3552"/>
            <w:vAlign w:val="top"/>
          </w:tcPr>
          <w:p>
            <w:pPr>
              <w:spacing w:after="0"/>
            </w:pPr>
            <w:r>
              <w:rPr>
                <w:rFonts w:ascii="Times New Roman" w:hAnsi="Times New Roman"/>
                <w:sz w:val="15"/>
              </w:rPr>
              <w:t>Kings arise from differing cities/families; precise external identifications avoided.</w:t>
            </w:r>
          </w:p>
        </w:tc>
      </w:tr>
      <w:tr>
        <w:tc>
          <w:tcPr>
            <w:tcW w:type="dxa" w:w="3552"/>
            <w:vAlign w:val="top"/>
          </w:tcPr>
          <w:p>
            <w:pPr>
              <w:spacing w:after="0"/>
            </w:pPr>
            <w:r>
              <w:rPr>
                <w:rFonts w:ascii="Times New Roman" w:hAnsi="Times New Roman"/>
                <w:sz w:val="15"/>
              </w:rPr>
              <w:t>Gen. 36:35</w:t>
            </w:r>
          </w:p>
        </w:tc>
        <w:tc>
          <w:tcPr>
            <w:tcW w:type="dxa" w:w="3552"/>
            <w:vAlign w:val="top"/>
          </w:tcPr>
          <w:p>
            <w:pPr>
              <w:spacing w:after="0"/>
            </w:pPr>
            <w:r>
              <w:rPr>
                <w:rFonts w:ascii="Times New Roman" w:hAnsi="Times New Roman"/>
                <w:sz w:val="15"/>
              </w:rPr>
              <w:t>Midian / field of Moab</w:t>
            </w:r>
          </w:p>
        </w:tc>
        <w:tc>
          <w:tcPr>
            <w:tcW w:type="dxa" w:w="3552"/>
            <w:vAlign w:val="top"/>
          </w:tcPr>
          <w:p>
            <w:pPr>
              <w:spacing w:after="0"/>
            </w:pPr>
            <w:r>
              <w:rPr>
                <w:rFonts w:ascii="Times New Roman" w:hAnsi="Times New Roman"/>
                <w:sz w:val="15"/>
              </w:rPr>
              <w:t>Secure biblical evidence of Edomite military action; no unsupported reconstruction added.</w:t>
            </w:r>
          </w:p>
        </w:tc>
      </w:tr>
      <w:tr>
        <w:tc>
          <w:tcPr>
            <w:tcW w:type="dxa" w:w="3552"/>
            <w:vAlign w:val="top"/>
          </w:tcPr>
          <w:p>
            <w:pPr>
              <w:spacing w:after="0"/>
            </w:pPr>
            <w:r>
              <w:rPr>
                <w:rFonts w:ascii="Times New Roman" w:hAnsi="Times New Roman"/>
                <w:sz w:val="15"/>
              </w:rPr>
              <w:t>Gen. 36:40–43</w:t>
            </w:r>
          </w:p>
        </w:tc>
        <w:tc>
          <w:tcPr>
            <w:tcW w:type="dxa" w:w="3552"/>
            <w:vAlign w:val="top"/>
          </w:tcPr>
          <w:p>
            <w:pPr>
              <w:spacing w:after="0"/>
            </w:pPr>
            <w:r>
              <w:rPr>
                <w:rFonts w:ascii="Times New Roman" w:hAnsi="Times New Roman"/>
                <w:sz w:val="15"/>
              </w:rPr>
              <w:t>chiefs by habitation</w:t>
            </w:r>
          </w:p>
        </w:tc>
        <w:tc>
          <w:tcPr>
            <w:tcW w:type="dxa" w:w="3552"/>
            <w:vAlign w:val="top"/>
          </w:tcPr>
          <w:p>
            <w:pPr>
              <w:spacing w:after="0"/>
            </w:pPr>
            <w:r>
              <w:rPr>
                <w:rFonts w:ascii="Times New Roman" w:hAnsi="Times New Roman"/>
                <w:sz w:val="15"/>
              </w:rPr>
              <w:t>Final list is territorial/clan organisation, completing the chapter’s development.</w:t>
            </w:r>
          </w:p>
        </w:tc>
      </w:tr>
      <w:tr>
        <w:tc>
          <w:tcPr>
            <w:tcW w:type="dxa" w:w="3552"/>
            <w:vAlign w:val="top"/>
          </w:tcPr>
          <w:p>
            <w:pPr>
              <w:spacing w:after="0"/>
            </w:pPr>
            <w:r>
              <w:rPr>
                <w:rFonts w:ascii="Times New Roman" w:hAnsi="Times New Roman"/>
                <w:sz w:val="15"/>
              </w:rPr>
              <w:t>Gen. 37:1</w:t>
            </w:r>
          </w:p>
        </w:tc>
        <w:tc>
          <w:tcPr>
            <w:tcW w:type="dxa" w:w="3552"/>
            <w:vAlign w:val="top"/>
          </w:tcPr>
          <w:p>
            <w:pPr>
              <w:spacing w:after="0"/>
            </w:pPr>
            <w:r>
              <w:rPr>
                <w:rFonts w:ascii="Times New Roman" w:hAnsi="Times New Roman"/>
                <w:sz w:val="15"/>
              </w:rPr>
              <w:t>Jacob remains a stranger</w:t>
            </w:r>
          </w:p>
        </w:tc>
        <w:tc>
          <w:tcPr>
            <w:tcW w:type="dxa" w:w="3552"/>
            <w:vAlign w:val="top"/>
          </w:tcPr>
          <w:p>
            <w:pPr>
              <w:spacing w:after="0"/>
            </w:pPr>
            <w:r>
              <w:rPr>
                <w:rFonts w:ascii="Times New Roman" w:hAnsi="Times New Roman"/>
                <w:sz w:val="15"/>
              </w:rPr>
              <w:t>Immediate literary contrast with Edom’s settled political organisation.</w:t>
            </w:r>
          </w:p>
        </w:tc>
      </w:tr>
    </w:tbl>
    <w:p>
      <w:pPr>
        <w:pStyle w:val="Heading1"/>
      </w:pPr>
      <w:r>
        <w:t>RESIDUAL UNCERTAINTIES</w:t>
      </w:r>
    </w:p>
    <w:p>
      <w:pPr/>
      <w:r>
        <w:rPr>
          <w:i w:val="0"/>
        </w:rPr>
        <w:t>Numerous Edomite and Horite name meanings in Mansfield’s notes depend on older lexicons and have not been presented as certain. The relationship among Esau’s differently named wives in Genesis 26, 28 and 36 is not explicitly resolved by Scripture. Genesis 36:24 remains genuinely difficult: “mules,” “hot springs,” and “Emim” are competing proposals. Extra-biblical identifications of the Edomite kings and their cities remain tentative.</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2"/>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2"/>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