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37</w:t>
      </w:r>
    </w:p>
    <w:p>
      <w:pPr>
        <w:pStyle w:val="Subtitle"/>
      </w:pPr>
      <w:r>
        <w:t>JOSEPH THE BELOVED SON • THE DREAMS • SENT TO HIS BRETHREN • THE PIT AND THE SALE • JACOB DECEIVED</w:t>
      </w:r>
    </w:p>
    <w:p>
      <w:pPr/>
      <w:r>
        <w:rPr>
          <w:i/>
        </w:rPr>
        <w:t>H. P. Mansfield Bible notes — checked and arranged in verse-by-verse Expositor style</w:t>
      </w:r>
    </w:p>
    <w:p>
      <w:pPr/>
      <w:r>
        <w:rPr>
          <w:i w:val="0"/>
        </w:rPr>
        <w:t>Source: HPB 01-Gen01-Gen41.PDF, principally Genesis 37 photographed pages 93–94</w:t>
      </w:r>
    </w:p>
    <w:p>
      <w:pPr>
        <w:pStyle w:val="Heading1"/>
      </w:pPr>
      <w:r>
        <w:t>CHAPTER OVERVIEW</w:t>
      </w:r>
    </w:p>
    <w:p>
      <w:pPr/>
      <w:r>
        <w:rPr>
          <w:i w:val="0"/>
        </w:rPr>
        <w:t>Genesis 37 opens the Joseph narrative. Mansfield reads Joseph both historically and as a sustained type of Christ: beloved of his father, hated by his brethren, sent by the father, rejected, stripped, cast down, sold for silver and believed dead before eventual exaltation. These parallels are preserved where the New Testament or the narrative supports them, without turning every incidental detail into a forced prediction.</w:t>
      </w:r>
    </w:p>
    <w:p>
      <w:pPr/>
      <w:r>
        <w:rPr>
          <w:i w:val="0"/>
        </w:rPr>
        <w:t>The chapter also traces the moral descent of Joseph’s brothers. Envy becomes hatred, hatred becomes conspiracy, conspiracy becomes attempted murder and sale, and the crime is then sustained by deception of their father. Human hostility appears to defeat Joseph’s dreams, yet in fact sends him toward the very place where they will be fulfilled.</w:t>
      </w:r>
    </w:p>
    <w:p>
      <w:pPr>
        <w:pStyle w:val="Heading1"/>
      </w:pPr>
      <w:r>
        <w:t>THE PILGRIM FAMILY AND JOSEPH — GENESIS 37:1–4</w:t>
      </w:r>
    </w:p>
    <w:p>
      <w:pPr>
        <w:pStyle w:val="Heading2"/>
      </w:pPr>
      <w:r>
        <w:t>Genesis 37:1 — Jacob remains a stranger</w:t>
      </w:r>
    </w:p>
    <w:p>
      <w:pPr/>
      <w:r>
        <w:rPr>
          <w:i w:val="0"/>
        </w:rPr>
        <w:t>Jacob dwells in Canaan, “the land wherein his father was a stranger.” This is the deliberate literary contrast with Genesis 36: Edom has territory, chiefs and kings, while the covenant family still possesses the land only by promise. Hebrews 11:9–13 gives the later inspired interpretation of this pilgrim status.</w:t>
      </w:r>
    </w:p>
    <w:p>
      <w:pPr>
        <w:pStyle w:val="Heading2"/>
      </w:pPr>
      <w:r>
        <w:t>Genesis 37:2 — Joseph at seventeen and the evil report</w:t>
      </w:r>
    </w:p>
    <w:p>
      <w:pPr/>
      <w:r>
        <w:rPr>
          <w:i w:val="0"/>
        </w:rPr>
        <w:t>Joseph is seventeen and shepherds with his brothers, particularly the sons of Bilhah and Zilpah. He brings their “evil report” to Jacob. The Hebrew dibbah can denote a bad or defamatory report; the verse does not tell us enough to label Joseph a malicious tale-bearer. Mansfield’s defence — that he reported serious misconduct after witnessing it — is possible, but the precise circumstances remain unstated.</w:t>
      </w:r>
    </w:p>
    <w:p>
      <w:pPr>
        <w:pStyle w:val="Heading2"/>
      </w:pPr>
      <w:r>
        <w:t>Genesis 37:3 — ketonet passim, a distinctive robe</w:t>
      </w:r>
    </w:p>
    <w:p>
      <w:pPr/>
      <w:r>
        <w:rPr>
          <w:i w:val="0"/>
        </w:rPr>
        <w:t>Israel loves Joseph more than his other sons and makes him a ketonet passim. The traditional KJV “coat of many colours” is not certain. Ketonet means tunic/garment; passim is associated with extremities such as palms/soles and may indicate a long-sleeved or full-length robe. The same expression describes the distinctive garment of royal daughters in 2 Samuel 13:18. Its clear narrative function is to mark Joseph out visibly as specially favoured.</w:t>
      </w:r>
    </w:p>
    <w:p>
      <w:pPr/>
      <w:r>
        <w:rPr>
          <w:i w:val="0"/>
        </w:rPr>
        <w:t>Mansfield interprets the robe as firstborn/priestly insignia, linking Reuben’s later loss of birthright (1 Chronicles 5:1–2). That is a plausible typological inference but not stated by Genesis 37 itself, so it is not presented as a lexical fact.</w:t>
      </w:r>
    </w:p>
    <w:p>
      <w:pPr>
        <w:pStyle w:val="Heading2"/>
      </w:pPr>
      <w:r>
        <w:t>Genesis 37:4 — hatred replaces shalom</w:t>
      </w:r>
    </w:p>
    <w:p>
      <w:pPr/>
      <w:r>
        <w:rPr>
          <w:i w:val="0"/>
        </w:rPr>
        <w:t>The brothers see Jacob’s preference, hate Joseph, and “could not speak peaceably unto him.” Literally, they cannot speak to him for shalom — peace, wholeness or friendly relationship. Parental favouritism is part of the destructive family setting, but it does not excuse their hatred.</w:t>
      </w:r>
    </w:p>
    <w:p>
      <w:pPr>
        <w:pStyle w:val="Heading1"/>
      </w:pPr>
      <w:r>
        <w:t>THE DREAMS — GENESIS 37:5–11</w:t>
      </w:r>
    </w:p>
    <w:p>
      <w:pPr>
        <w:pStyle w:val="Heading2"/>
      </w:pPr>
      <w:r>
        <w:t>Genesis 37:5–8 — the sheaves bow</w:t>
      </w:r>
    </w:p>
    <w:p>
      <w:pPr/>
      <w:r>
        <w:rPr>
          <w:i w:val="0"/>
        </w:rPr>
        <w:t>Joseph dreams that his upright sheaf is surrounded by the brothers’ sheaves, which bow to it. The brothers immediately grasp the implication: “Shalt thou indeed reign over us? or shalt thou indeed have dominion over us?” The dream is not presented as Joseph inventing an ambition; it is revelation of a future he cannot yet engineer. Genesis 42:6; 43:26 and 44:14 later record the brothers bowing before him.</w:t>
      </w:r>
    </w:p>
    <w:p>
      <w:pPr>
        <w:pStyle w:val="Heading2"/>
      </w:pPr>
      <w:r>
        <w:t>Genesis 37:9–10 — sun, moon and eleven stars</w:t>
      </w:r>
    </w:p>
    <w:p>
      <w:pPr/>
      <w:r>
        <w:rPr>
          <w:i w:val="0"/>
        </w:rPr>
        <w:t>The second dream extends the homage to sun, moon and eleven stars. Jacob interprets the symbols as himself, Joseph’s mother and the brothers. Rachel is already dead by Genesis 35:19, creating a real difficulty if the dream is pressed into a simple one-time literal fulfilment. Mansfield sees this as pointing ultimately to resurrection and the fuller Messianic pattern; at minimum the dream reinforces the certainty and breadth of Joseph’s coming elevation.</w:t>
      </w:r>
    </w:p>
    <w:p>
      <w:pPr/>
      <w:r>
        <w:rPr>
          <w:i w:val="0"/>
        </w:rPr>
        <w:t>Mansfield also notes the doubled dream principle from Genesis 41:32, where two related dreams signify that a matter is established by God. That later verse provides a legitimate Joseph-story parallel, although Genesis 37 itself does not explicitly explain the duplication.</w:t>
      </w:r>
    </w:p>
    <w:p>
      <w:pPr>
        <w:pStyle w:val="Heading2"/>
      </w:pPr>
      <w:r>
        <w:t>Genesis 37:11 — envy and careful remembrance</w:t>
      </w:r>
    </w:p>
    <w:p>
      <w:pPr/>
      <w:r>
        <w:rPr>
          <w:i w:val="0"/>
        </w:rPr>
        <w:t>The brothers envy Joseph, while Jacob “observed the saying” — he keeps or guards the matter in mind. Acts 7:9 later explicitly states that “the patriarchs, moved with envy, sold Joseph into Egypt,” confirming envy as a central motive.</w:t>
      </w:r>
    </w:p>
    <w:p>
      <w:pPr>
        <w:pStyle w:val="Heading1"/>
      </w:pPr>
      <w:r>
        <w:t>THE SON SENT TO HIS BRETHREN — GENESIS 37:12–17</w:t>
      </w:r>
    </w:p>
    <w:p>
      <w:pPr>
        <w:pStyle w:val="Heading2"/>
      </w:pPr>
      <w:r>
        <w:t>Genesis 37:12–14 — “Here am I”</w:t>
      </w:r>
    </w:p>
    <w:p>
      <w:pPr/>
      <w:r>
        <w:rPr>
          <w:i w:val="0"/>
        </w:rPr>
        <w:t>The brothers are pasturing at Shechem. Israel sends Joseph to see the welfare — literally the shalom — of the brothers and flock and bring word back. Joseph answers, “Here am I.” Mansfield develops the beloved-son/sent-by-the-father parallel with Christ; the typology is especially natural because Joseph is sent for the welfare of brethren who already hate him.</w:t>
      </w:r>
    </w:p>
    <w:p>
      <w:pPr>
        <w:pStyle w:val="Heading2"/>
      </w:pPr>
      <w:r>
        <w:t>Genesis 37:15–17 — from Shechem to Dothan</w:t>
      </w:r>
    </w:p>
    <w:p>
      <w:pPr/>
      <w:r>
        <w:rPr>
          <w:i w:val="0"/>
        </w:rPr>
        <w:t>A man finds Joseph wandering in the field and directs him to Dothan, where the brothers have moved. Joseph does not simply return home when they are absent from Shechem; he continues searching until he finds them. Dothan lay north of Shechem on a route used by caravans toward Egypt, which explains the merchant traffic that soon appears.</w:t>
      </w:r>
    </w:p>
    <w:p>
      <w:pPr>
        <w:pStyle w:val="Heading1"/>
      </w:pPr>
      <w:r>
        <w:t>CONSPIRACY, PIT AND SALE — GENESIS 37:18–30</w:t>
      </w:r>
    </w:p>
    <w:p>
      <w:pPr>
        <w:pStyle w:val="Heading2"/>
      </w:pPr>
      <w:r>
        <w:t>Genesis 37:18–20 — “we shall see what will become of his dreams”</w:t>
      </w:r>
    </w:p>
    <w:p>
      <w:pPr/>
      <w:r>
        <w:rPr>
          <w:i w:val="0"/>
        </w:rPr>
        <w:t>The brothers see Joseph at a distance and conspire to kill him. They call him ba‘al hachalomoth, literally the “master/possessor of dreams,” rendered by the KJV “this dreamer.” Their proposal to kill him, cast him into a pit and blame a wild beast culminates in the ironic challenge, “we shall see what will become of his dreams.” Their attempt to falsify the revelation becomes part of the means by which it is fulfilled.</w:t>
      </w:r>
    </w:p>
    <w:p>
      <w:pPr>
        <w:pStyle w:val="Heading2"/>
      </w:pPr>
      <w:r>
        <w:t>Genesis 37:21–22 — Reuben’s incomplete intervention</w:t>
      </w:r>
    </w:p>
    <w:p>
      <w:pPr/>
      <w:r>
        <w:rPr>
          <w:i w:val="0"/>
        </w:rPr>
        <w:t>Reuben prevents immediate bloodshed and proposes that Joseph be thrown alive into a wilderness pit. The narrator explains his intention: he plans to rescue Joseph and restore him to Jacob. It is real intervention, but indirect; Reuben does not openly defeat the conspiracy and later discovers that events have moved beyond his control.</w:t>
      </w:r>
    </w:p>
    <w:p>
      <w:pPr>
        <w:pStyle w:val="Heading2"/>
      </w:pPr>
      <w:r>
        <w:t>Genesis 37:23–25 — stripped, cast into an empty pit, brethren eating</w:t>
      </w:r>
    </w:p>
    <w:p>
      <w:pPr/>
      <w:r>
        <w:rPr>
          <w:i w:val="0"/>
        </w:rPr>
        <w:t>The brothers strip Joseph of his distinctive garment and cast him into an empty pit “wherein was no water.” They then sit down to eat while he is imprisoned. Genesis 42:21 later recalls Joseph’s anguish and pleading, adding the emotional detail omitted here. A caravan approaches from Gilead carrying spicery, balm and myrrh toward Egypt.</w:t>
      </w:r>
    </w:p>
    <w:p>
      <w:pPr>
        <w:pStyle w:val="Heading2"/>
      </w:pPr>
      <w:r>
        <w:t>Genesis 37:26–28 — sold for twenty pieces of silver</w:t>
      </w:r>
    </w:p>
    <w:p>
      <w:pPr/>
      <w:r>
        <w:rPr>
          <w:i w:val="0"/>
        </w:rPr>
        <w:t>Judah argues that killing Joseph produces no profit and proposes sale instead because “he is our brother and our flesh.” The solution avoids personally shedding blood but commodifies their brother. Midianite merchantmen and Ishmaelites are both named; Judges 8:24 shows that these related Abrahamic groups could be described in overlapping ways, so the terminology need not be forced into two entirely unrelated caravans.</w:t>
      </w:r>
    </w:p>
    <w:p>
      <w:pPr/>
      <w:r>
        <w:rPr>
          <w:i w:val="0"/>
        </w:rPr>
        <w:t>Joseph is sold for twenty pieces of silver. Leviticus 27:5 later values a male aged five to twenty at twenty shekels, making Mansfield’s comparison appropriate, though Genesis 37 does not call the payment a Levitical redemption price. The typological contrast with Christ’s thirty pieces of silver is supported by Zechariah 11:12 and Matthew 26:15, but the monetary amounts are deliberately different.</w:t>
      </w:r>
    </w:p>
    <w:p>
      <w:pPr>
        <w:pStyle w:val="Heading2"/>
      </w:pPr>
      <w:r>
        <w:t>Genesis 37:29–30 — Reuben discovers the loss</w:t>
      </w:r>
    </w:p>
    <w:p>
      <w:pPr/>
      <w:r>
        <w:rPr>
          <w:i w:val="0"/>
        </w:rPr>
        <w:t>Reuben returns to the pit, tears his garments and cries, “The child is not; and I, whither shall I go?” His distress confirms that he had not agreed to the sale and exposes the weakness of trying to moderate evil without openly stopping it.</w:t>
      </w:r>
    </w:p>
    <w:p>
      <w:pPr>
        <w:pStyle w:val="Heading1"/>
      </w:pPr>
      <w:r>
        <w:t>THE GARMENT AND THE DECEPTION OF JACOB — GENESIS 37:31–36</w:t>
      </w:r>
    </w:p>
    <w:p>
      <w:pPr>
        <w:pStyle w:val="Heading2"/>
      </w:pPr>
      <w:r>
        <w:t>Genesis 37:31–33 — a goat and garment deceive the deceiver</w:t>
      </w:r>
    </w:p>
    <w:p>
      <w:pPr/>
      <w:r>
        <w:rPr>
          <w:i w:val="0"/>
        </w:rPr>
        <w:t>The brothers kill a young goat, dip Joseph’s garment in its blood, and send it to Jacob with the evasive question, “Know now whether it be thy son’s coat or no.” They never directly state the lie that a beast killed Joseph; they manipulate evidence so Jacob will say it himself. Mansfield rightly notices the painful symmetry with Genesis 27, where Jacob used goatskins and Esau’s garment to deceive Isaac.</w:t>
      </w:r>
    </w:p>
    <w:p>
      <w:pPr>
        <w:pStyle w:val="Heading2"/>
      </w:pPr>
      <w:r>
        <w:t>Genesis 37:34–35 — Sheol</w:t>
      </w:r>
    </w:p>
    <w:p>
      <w:pPr/>
      <w:r>
        <w:rPr>
          <w:i w:val="0"/>
        </w:rPr>
        <w:t>Jacob tears his clothes, puts on sackcloth and refuses comfort. He says he will go down to Sheol mourning. Sheol here is plainly the realm of the dead/grave, because Jacob believes Joseph has been killed. Ecclesiastes 9:10, Psalm 6:5 and Isaiah 38:18 are consistent with the Old Testament presentation of Sheol as the state/place of death, not a conscious heavenly reunion of immortal souls.</w:t>
      </w:r>
    </w:p>
    <w:p>
      <w:pPr/>
      <w:r>
        <w:rPr>
          <w:i w:val="0"/>
        </w:rPr>
        <w:t>Mansfield’s detailed proposed derivations of the word Sheol are less secure than the contextual evidence and have therefore not been made central. The essential point is clear from Jacob’s own grief: he thinks Joseph is dead.</w:t>
      </w:r>
    </w:p>
    <w:p>
      <w:pPr>
        <w:pStyle w:val="Heading2"/>
      </w:pPr>
      <w:r>
        <w:t>Genesis 37:36 — the apparent disaster advances the purpose</w:t>
      </w:r>
    </w:p>
    <w:p>
      <w:pPr/>
      <w:r>
        <w:rPr>
          <w:i w:val="0"/>
        </w:rPr>
        <w:t>The Midianites sell Joseph in Egypt to Potiphar, an officer of Pharaoh and captain of the guard. The chapter ends with Joseph apparently defeated, yet placed in the exact country where his eventual elevation will save his family. Psalm 105:17 later summarises the providence: God “sent a man before them, even Joseph, who was sold for a servant.”</w:t>
      </w:r>
    </w:p>
    <w:p>
      <w:pPr>
        <w:pStyle w:val="Heading1"/>
      </w:pPr>
      <w:r>
        <w:t>JOSEPH AS A TYPE OF CHRIST — CHECKED PARALLELS</w:t>
      </w:r>
    </w:p>
    <w:p>
      <w:pPr/>
      <w:r>
        <w:rPr>
          <w:i w:val="0"/>
        </w:rPr>
        <w:t>Mansfield’s central typology is strongest in broad, textually supported parallels: a beloved son (Matthew 3:17); hated by his brethren (John 15:24–25); sent in concern for them; rejected and conspired against; sold for silver (Matthew 26:14–15); handed over through envy (Matthew 27:18 / Acts 7:9); humiliated before later exaltation; and finally becoming the means of salvation for those who rejected him. Individual details should not be pressed beyond what the texts warrant.</w:t>
      </w:r>
    </w:p>
    <w:p>
      <w:pPr>
        <w:pStyle w:val="Heading1"/>
      </w:pPr>
      <w:r>
        <w:t>PRINCIPAL THEMES</w:t>
      </w:r>
    </w:p>
    <w:p>
      <w:pPr>
        <w:ind w:left="259" w:hanging="202"/>
      </w:pPr>
      <w:r>
        <w:rPr>
          <w:b/>
        </w:rPr>
        <w:t xml:space="preserve">• </w:t>
      </w:r>
      <w:r>
        <w:t>Joseph’s special favour contributes to family division but never excuses the brothers’ hatred.</w:t>
      </w:r>
    </w:p>
    <w:p>
      <w:pPr>
        <w:ind w:left="259" w:hanging="202"/>
      </w:pPr>
      <w:r>
        <w:rPr>
          <w:b/>
        </w:rPr>
        <w:t xml:space="preserve">• </w:t>
      </w:r>
      <w:r>
        <w:t>The dreams reveal Divine purpose before Joseph has any power to fulfil them.</w:t>
      </w:r>
    </w:p>
    <w:p>
      <w:pPr>
        <w:ind w:left="259" w:hanging="202"/>
      </w:pPr>
      <w:r>
        <w:rPr>
          <w:b/>
        </w:rPr>
        <w:t xml:space="preserve">• </w:t>
      </w:r>
      <w:r>
        <w:t>Envy develops progressively into conspiracy, cruelty, sale and sustained deception.</w:t>
      </w:r>
    </w:p>
    <w:p>
      <w:pPr>
        <w:ind w:left="259" w:hanging="202"/>
      </w:pPr>
      <w:r>
        <w:rPr>
          <w:b/>
        </w:rPr>
        <w:t xml:space="preserve">• </w:t>
      </w:r>
      <w:r>
        <w:t>Joseph continues seeking the welfare of brethren who hate him.</w:t>
      </w:r>
    </w:p>
    <w:p>
      <w:pPr>
        <w:ind w:left="259" w:hanging="202"/>
      </w:pPr>
      <w:r>
        <w:rPr>
          <w:b/>
        </w:rPr>
        <w:t xml:space="preserve">• </w:t>
      </w:r>
      <w:r>
        <w:t>Reuben’s partial intervention shows the weakness of half-measures against collective evil.</w:t>
      </w:r>
    </w:p>
    <w:p>
      <w:pPr>
        <w:ind w:left="259" w:hanging="202"/>
      </w:pPr>
      <w:r>
        <w:rPr>
          <w:b/>
        </w:rPr>
        <w:t xml:space="preserve">• </w:t>
      </w:r>
      <w:r>
        <w:t>The brothers’ attempt to defeat the dreams actually moves Joseph toward their fulfilment.</w:t>
      </w:r>
    </w:p>
    <w:p>
      <w:pPr>
        <w:ind w:left="259" w:hanging="202"/>
      </w:pPr>
      <w:r>
        <w:rPr>
          <w:b/>
        </w:rPr>
        <w:t xml:space="preserve">• </w:t>
      </w:r>
      <w:r>
        <w:t>Joseph provides a substantial, but not mechanically exact, biblical type of Christ.</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37:1</w:t>
            </w:r>
          </w:p>
        </w:tc>
        <w:tc>
          <w:tcPr>
            <w:tcW w:type="dxa" w:w="3552"/>
            <w:vAlign w:val="top"/>
          </w:tcPr>
          <w:p>
            <w:pPr>
              <w:spacing w:after="0"/>
            </w:pPr>
            <w:r>
              <w:rPr>
                <w:rFonts w:ascii="Times New Roman" w:hAnsi="Times New Roman"/>
                <w:sz w:val="15"/>
              </w:rPr>
              <w:t>Heb. 11:9–13</w:t>
            </w:r>
          </w:p>
        </w:tc>
        <w:tc>
          <w:tcPr>
            <w:tcW w:type="dxa" w:w="3552"/>
            <w:vAlign w:val="top"/>
          </w:tcPr>
          <w:p>
            <w:pPr>
              <w:spacing w:after="0"/>
            </w:pPr>
            <w:r>
              <w:rPr>
                <w:rFonts w:ascii="Times New Roman" w:hAnsi="Times New Roman"/>
                <w:sz w:val="15"/>
              </w:rPr>
              <w:t>Checks Jacob’s pilgrim/stranger status against settled Edom.</w:t>
            </w:r>
          </w:p>
        </w:tc>
      </w:tr>
      <w:tr>
        <w:tc>
          <w:tcPr>
            <w:tcW w:type="dxa" w:w="3552"/>
            <w:vAlign w:val="top"/>
          </w:tcPr>
          <w:p>
            <w:pPr>
              <w:spacing w:after="0"/>
            </w:pPr>
            <w:r>
              <w:rPr>
                <w:rFonts w:ascii="Times New Roman" w:hAnsi="Times New Roman"/>
                <w:sz w:val="15"/>
              </w:rPr>
              <w:t>Gen. 37:2</w:t>
            </w:r>
          </w:p>
        </w:tc>
        <w:tc>
          <w:tcPr>
            <w:tcW w:type="dxa" w:w="3552"/>
            <w:vAlign w:val="top"/>
          </w:tcPr>
          <w:p>
            <w:pPr>
              <w:spacing w:after="0"/>
            </w:pPr>
            <w:r>
              <w:rPr>
                <w:rFonts w:ascii="Times New Roman" w:hAnsi="Times New Roman"/>
                <w:sz w:val="15"/>
              </w:rPr>
              <w:t>dibbah</w:t>
            </w:r>
          </w:p>
        </w:tc>
        <w:tc>
          <w:tcPr>
            <w:tcW w:type="dxa" w:w="3552"/>
            <w:vAlign w:val="top"/>
          </w:tcPr>
          <w:p>
            <w:pPr>
              <w:spacing w:after="0"/>
            </w:pPr>
            <w:r>
              <w:rPr>
                <w:rFonts w:ascii="Times New Roman" w:hAnsi="Times New Roman"/>
                <w:sz w:val="15"/>
              </w:rPr>
              <w:t>Bad/evil report; Joseph’s motive cannot be proved as malicious tale-bearing.</w:t>
            </w:r>
          </w:p>
        </w:tc>
      </w:tr>
      <w:tr>
        <w:tc>
          <w:tcPr>
            <w:tcW w:type="dxa" w:w="3552"/>
            <w:vAlign w:val="top"/>
          </w:tcPr>
          <w:p>
            <w:pPr>
              <w:spacing w:after="0"/>
            </w:pPr>
            <w:r>
              <w:rPr>
                <w:rFonts w:ascii="Times New Roman" w:hAnsi="Times New Roman"/>
                <w:sz w:val="15"/>
              </w:rPr>
              <w:t>Gen. 37:3</w:t>
            </w:r>
          </w:p>
        </w:tc>
        <w:tc>
          <w:tcPr>
            <w:tcW w:type="dxa" w:w="3552"/>
            <w:vAlign w:val="top"/>
          </w:tcPr>
          <w:p>
            <w:pPr>
              <w:spacing w:after="0"/>
            </w:pPr>
            <w:r>
              <w:rPr>
                <w:rFonts w:ascii="Times New Roman" w:hAnsi="Times New Roman"/>
                <w:sz w:val="15"/>
              </w:rPr>
              <w:t>ketonet passim; 2 Sam. 13:18</w:t>
            </w:r>
          </w:p>
        </w:tc>
        <w:tc>
          <w:tcPr>
            <w:tcW w:type="dxa" w:w="3552"/>
            <w:vAlign w:val="top"/>
          </w:tcPr>
          <w:p>
            <w:pPr>
              <w:spacing w:after="0"/>
            </w:pPr>
            <w:r>
              <w:rPr>
                <w:rFonts w:ascii="Times New Roman" w:hAnsi="Times New Roman"/>
                <w:sz w:val="15"/>
              </w:rPr>
              <w:t>Distinctive long/full garment more secure than “many colours”; royal/status use confirmed.</w:t>
            </w:r>
          </w:p>
        </w:tc>
      </w:tr>
      <w:tr>
        <w:tc>
          <w:tcPr>
            <w:tcW w:type="dxa" w:w="3552"/>
            <w:vAlign w:val="top"/>
          </w:tcPr>
          <w:p>
            <w:pPr>
              <w:spacing w:after="0"/>
            </w:pPr>
            <w:r>
              <w:rPr>
                <w:rFonts w:ascii="Times New Roman" w:hAnsi="Times New Roman"/>
                <w:sz w:val="15"/>
              </w:rPr>
              <w:t>Gen. 37:3</w:t>
            </w:r>
          </w:p>
        </w:tc>
        <w:tc>
          <w:tcPr>
            <w:tcW w:type="dxa" w:w="3552"/>
            <w:vAlign w:val="top"/>
          </w:tcPr>
          <w:p>
            <w:pPr>
              <w:spacing w:after="0"/>
            </w:pPr>
            <w:r>
              <w:rPr>
                <w:rFonts w:ascii="Times New Roman" w:hAnsi="Times New Roman"/>
                <w:sz w:val="15"/>
              </w:rPr>
              <w:t>1 Chr. 5:1–2</w:t>
            </w:r>
          </w:p>
        </w:tc>
        <w:tc>
          <w:tcPr>
            <w:tcW w:type="dxa" w:w="3552"/>
            <w:vAlign w:val="top"/>
          </w:tcPr>
          <w:p>
            <w:pPr>
              <w:spacing w:after="0"/>
            </w:pPr>
            <w:r>
              <w:rPr>
                <w:rFonts w:ascii="Times New Roman" w:hAnsi="Times New Roman"/>
                <w:sz w:val="15"/>
              </w:rPr>
              <w:t>Joseph receives firstborn-related rights after Reuben’s sin, but robe = priestly office remains inference.</w:t>
            </w:r>
          </w:p>
        </w:tc>
      </w:tr>
      <w:tr>
        <w:tc>
          <w:tcPr>
            <w:tcW w:type="dxa" w:w="3552"/>
            <w:vAlign w:val="top"/>
          </w:tcPr>
          <w:p>
            <w:pPr>
              <w:spacing w:after="0"/>
            </w:pPr>
            <w:r>
              <w:rPr>
                <w:rFonts w:ascii="Times New Roman" w:hAnsi="Times New Roman"/>
                <w:sz w:val="15"/>
              </w:rPr>
              <w:t>Gen. 37:4</w:t>
            </w:r>
          </w:p>
        </w:tc>
        <w:tc>
          <w:tcPr>
            <w:tcW w:type="dxa" w:w="3552"/>
            <w:vAlign w:val="top"/>
          </w:tcPr>
          <w:p>
            <w:pPr>
              <w:spacing w:after="0"/>
            </w:pPr>
            <w:r>
              <w:rPr>
                <w:rFonts w:ascii="Times New Roman" w:hAnsi="Times New Roman"/>
                <w:sz w:val="15"/>
              </w:rPr>
              <w:t>shalom</w:t>
            </w:r>
          </w:p>
        </w:tc>
        <w:tc>
          <w:tcPr>
            <w:tcW w:type="dxa" w:w="3552"/>
            <w:vAlign w:val="top"/>
          </w:tcPr>
          <w:p>
            <w:pPr>
              <w:spacing w:after="0"/>
            </w:pPr>
            <w:r>
              <w:rPr>
                <w:rFonts w:ascii="Times New Roman" w:hAnsi="Times New Roman"/>
                <w:sz w:val="15"/>
              </w:rPr>
              <w:t>Brothers cannot speak in peace/friendliness to Joseph.</w:t>
            </w:r>
          </w:p>
        </w:tc>
      </w:tr>
      <w:tr>
        <w:tc>
          <w:tcPr>
            <w:tcW w:type="dxa" w:w="3552"/>
            <w:vAlign w:val="top"/>
          </w:tcPr>
          <w:p>
            <w:pPr>
              <w:spacing w:after="0"/>
            </w:pPr>
            <w:r>
              <w:rPr>
                <w:rFonts w:ascii="Times New Roman" w:hAnsi="Times New Roman"/>
                <w:sz w:val="15"/>
              </w:rPr>
              <w:t>Gen. 37:7–8</w:t>
            </w:r>
          </w:p>
        </w:tc>
        <w:tc>
          <w:tcPr>
            <w:tcW w:type="dxa" w:w="3552"/>
            <w:vAlign w:val="top"/>
          </w:tcPr>
          <w:p>
            <w:pPr>
              <w:spacing w:after="0"/>
            </w:pPr>
            <w:r>
              <w:rPr>
                <w:rFonts w:ascii="Times New Roman" w:hAnsi="Times New Roman"/>
                <w:sz w:val="15"/>
              </w:rPr>
              <w:t>Gen. 42:6; 43:26; 44:14</w:t>
            </w:r>
          </w:p>
        </w:tc>
        <w:tc>
          <w:tcPr>
            <w:tcW w:type="dxa" w:w="3552"/>
            <w:vAlign w:val="top"/>
          </w:tcPr>
          <w:p>
            <w:pPr>
              <w:spacing w:after="0"/>
            </w:pPr>
            <w:r>
              <w:rPr>
                <w:rFonts w:ascii="Times New Roman" w:hAnsi="Times New Roman"/>
                <w:sz w:val="15"/>
              </w:rPr>
              <w:t>Later narrative records the brothers bowing to Joseph.</w:t>
            </w:r>
          </w:p>
        </w:tc>
      </w:tr>
      <w:tr>
        <w:tc>
          <w:tcPr>
            <w:tcW w:type="dxa" w:w="3552"/>
            <w:vAlign w:val="top"/>
          </w:tcPr>
          <w:p>
            <w:pPr>
              <w:spacing w:after="0"/>
            </w:pPr>
            <w:r>
              <w:rPr>
                <w:rFonts w:ascii="Times New Roman" w:hAnsi="Times New Roman"/>
                <w:sz w:val="15"/>
              </w:rPr>
              <w:t>Gen. 37:9–10</w:t>
            </w:r>
          </w:p>
        </w:tc>
        <w:tc>
          <w:tcPr>
            <w:tcW w:type="dxa" w:w="3552"/>
            <w:vAlign w:val="top"/>
          </w:tcPr>
          <w:p>
            <w:pPr>
              <w:spacing w:after="0"/>
            </w:pPr>
            <w:r>
              <w:rPr>
                <w:rFonts w:ascii="Times New Roman" w:hAnsi="Times New Roman"/>
                <w:sz w:val="15"/>
              </w:rPr>
              <w:t>Rachel already dead</w:t>
            </w:r>
          </w:p>
        </w:tc>
        <w:tc>
          <w:tcPr>
            <w:tcW w:type="dxa" w:w="3552"/>
            <w:vAlign w:val="top"/>
          </w:tcPr>
          <w:p>
            <w:pPr>
              <w:spacing w:after="0"/>
            </w:pPr>
            <w:r>
              <w:rPr>
                <w:rFonts w:ascii="Times New Roman" w:hAnsi="Times New Roman"/>
                <w:sz w:val="15"/>
              </w:rPr>
              <w:t>Prevents simplistic literal identification of one complete immediate fulfilment.</w:t>
            </w:r>
          </w:p>
        </w:tc>
      </w:tr>
      <w:tr>
        <w:tc>
          <w:tcPr>
            <w:tcW w:type="dxa" w:w="3552"/>
            <w:vAlign w:val="top"/>
          </w:tcPr>
          <w:p>
            <w:pPr>
              <w:spacing w:after="0"/>
            </w:pPr>
            <w:r>
              <w:rPr>
                <w:rFonts w:ascii="Times New Roman" w:hAnsi="Times New Roman"/>
                <w:sz w:val="15"/>
              </w:rPr>
              <w:t>Gen. 37:11</w:t>
            </w:r>
          </w:p>
        </w:tc>
        <w:tc>
          <w:tcPr>
            <w:tcW w:type="dxa" w:w="3552"/>
            <w:vAlign w:val="top"/>
          </w:tcPr>
          <w:p>
            <w:pPr>
              <w:spacing w:after="0"/>
            </w:pPr>
            <w:r>
              <w:rPr>
                <w:rFonts w:ascii="Times New Roman" w:hAnsi="Times New Roman"/>
                <w:sz w:val="15"/>
              </w:rPr>
              <w:t>Acts 7:9</w:t>
            </w:r>
          </w:p>
        </w:tc>
        <w:tc>
          <w:tcPr>
            <w:tcW w:type="dxa" w:w="3552"/>
            <w:vAlign w:val="top"/>
          </w:tcPr>
          <w:p>
            <w:pPr>
              <w:spacing w:after="0"/>
            </w:pPr>
            <w:r>
              <w:rPr>
                <w:rFonts w:ascii="Times New Roman" w:hAnsi="Times New Roman"/>
                <w:sz w:val="15"/>
              </w:rPr>
              <w:t>Stephen explicitly identifies envy as motive for Joseph’s sale.</w:t>
            </w:r>
          </w:p>
        </w:tc>
      </w:tr>
      <w:tr>
        <w:tc>
          <w:tcPr>
            <w:tcW w:type="dxa" w:w="3552"/>
            <w:vAlign w:val="top"/>
          </w:tcPr>
          <w:p>
            <w:pPr>
              <w:spacing w:after="0"/>
            </w:pPr>
            <w:r>
              <w:rPr>
                <w:rFonts w:ascii="Times New Roman" w:hAnsi="Times New Roman"/>
                <w:sz w:val="15"/>
              </w:rPr>
              <w:t>Gen. 37:14</w:t>
            </w:r>
          </w:p>
        </w:tc>
        <w:tc>
          <w:tcPr>
            <w:tcW w:type="dxa" w:w="3552"/>
            <w:vAlign w:val="top"/>
          </w:tcPr>
          <w:p>
            <w:pPr>
              <w:spacing w:after="0"/>
            </w:pPr>
            <w:r>
              <w:rPr>
                <w:rFonts w:ascii="Times New Roman" w:hAnsi="Times New Roman"/>
                <w:sz w:val="15"/>
              </w:rPr>
              <w:t>shalom</w:t>
            </w:r>
          </w:p>
        </w:tc>
        <w:tc>
          <w:tcPr>
            <w:tcW w:type="dxa" w:w="3552"/>
            <w:vAlign w:val="top"/>
          </w:tcPr>
          <w:p>
            <w:pPr>
              <w:spacing w:after="0"/>
            </w:pPr>
            <w:r>
              <w:rPr>
                <w:rFonts w:ascii="Times New Roman" w:hAnsi="Times New Roman"/>
                <w:sz w:val="15"/>
              </w:rPr>
              <w:t>Joseph is sent to seek the welfare/peace of brethren and flock.</w:t>
            </w:r>
          </w:p>
        </w:tc>
      </w:tr>
      <w:tr>
        <w:tc>
          <w:tcPr>
            <w:tcW w:type="dxa" w:w="3552"/>
            <w:vAlign w:val="top"/>
          </w:tcPr>
          <w:p>
            <w:pPr>
              <w:spacing w:after="0"/>
            </w:pPr>
            <w:r>
              <w:rPr>
                <w:rFonts w:ascii="Times New Roman" w:hAnsi="Times New Roman"/>
                <w:sz w:val="15"/>
              </w:rPr>
              <w:t>Gen. 37:19</w:t>
            </w:r>
          </w:p>
        </w:tc>
        <w:tc>
          <w:tcPr>
            <w:tcW w:type="dxa" w:w="3552"/>
            <w:vAlign w:val="top"/>
          </w:tcPr>
          <w:p>
            <w:pPr>
              <w:spacing w:after="0"/>
            </w:pPr>
            <w:r>
              <w:rPr>
                <w:rFonts w:ascii="Times New Roman" w:hAnsi="Times New Roman"/>
                <w:sz w:val="15"/>
              </w:rPr>
              <w:t>ba‘al hachalomoth</w:t>
            </w:r>
          </w:p>
        </w:tc>
        <w:tc>
          <w:tcPr>
            <w:tcW w:type="dxa" w:w="3552"/>
            <w:vAlign w:val="top"/>
          </w:tcPr>
          <w:p>
            <w:pPr>
              <w:spacing w:after="0"/>
            </w:pPr>
            <w:r>
              <w:rPr>
                <w:rFonts w:ascii="Times New Roman" w:hAnsi="Times New Roman"/>
                <w:sz w:val="15"/>
              </w:rPr>
              <w:t>Literally master/possessor of dreams; KJV “this dreamer.”</w:t>
            </w:r>
          </w:p>
        </w:tc>
      </w:tr>
      <w:tr>
        <w:tc>
          <w:tcPr>
            <w:tcW w:type="dxa" w:w="3552"/>
            <w:vAlign w:val="top"/>
          </w:tcPr>
          <w:p>
            <w:pPr>
              <w:spacing w:after="0"/>
            </w:pPr>
            <w:r>
              <w:rPr>
                <w:rFonts w:ascii="Times New Roman" w:hAnsi="Times New Roman"/>
                <w:sz w:val="15"/>
              </w:rPr>
              <w:t>Gen. 37:24</w:t>
            </w:r>
          </w:p>
        </w:tc>
        <w:tc>
          <w:tcPr>
            <w:tcW w:type="dxa" w:w="3552"/>
            <w:vAlign w:val="top"/>
          </w:tcPr>
          <w:p>
            <w:pPr>
              <w:spacing w:after="0"/>
            </w:pPr>
            <w:r>
              <w:rPr>
                <w:rFonts w:ascii="Times New Roman" w:hAnsi="Times New Roman"/>
                <w:sz w:val="15"/>
              </w:rPr>
              <w:t>Gen. 42:21</w:t>
            </w:r>
          </w:p>
        </w:tc>
        <w:tc>
          <w:tcPr>
            <w:tcW w:type="dxa" w:w="3552"/>
            <w:vAlign w:val="top"/>
          </w:tcPr>
          <w:p>
            <w:pPr>
              <w:spacing w:after="0"/>
            </w:pPr>
            <w:r>
              <w:rPr>
                <w:rFonts w:ascii="Times New Roman" w:hAnsi="Times New Roman"/>
                <w:sz w:val="15"/>
              </w:rPr>
              <w:t>Later chapter supplies Joseph’s pleading and distress in the pit.</w:t>
            </w:r>
          </w:p>
        </w:tc>
      </w:tr>
      <w:tr>
        <w:tc>
          <w:tcPr>
            <w:tcW w:type="dxa" w:w="3552"/>
            <w:vAlign w:val="top"/>
          </w:tcPr>
          <w:p>
            <w:pPr>
              <w:spacing w:after="0"/>
            </w:pPr>
            <w:r>
              <w:rPr>
                <w:rFonts w:ascii="Times New Roman" w:hAnsi="Times New Roman"/>
                <w:sz w:val="15"/>
              </w:rPr>
              <w:t>Gen. 37:28</w:t>
            </w:r>
          </w:p>
        </w:tc>
        <w:tc>
          <w:tcPr>
            <w:tcW w:type="dxa" w:w="3552"/>
            <w:vAlign w:val="top"/>
          </w:tcPr>
          <w:p>
            <w:pPr>
              <w:spacing w:after="0"/>
            </w:pPr>
            <w:r>
              <w:rPr>
                <w:rFonts w:ascii="Times New Roman" w:hAnsi="Times New Roman"/>
                <w:sz w:val="15"/>
              </w:rPr>
              <w:t>Judg. 8:24</w:t>
            </w:r>
          </w:p>
        </w:tc>
        <w:tc>
          <w:tcPr>
            <w:tcW w:type="dxa" w:w="3552"/>
            <w:vAlign w:val="top"/>
          </w:tcPr>
          <w:p>
            <w:pPr>
              <w:spacing w:after="0"/>
            </w:pPr>
            <w:r>
              <w:rPr>
                <w:rFonts w:ascii="Times New Roman" w:hAnsi="Times New Roman"/>
                <w:sz w:val="15"/>
              </w:rPr>
              <w:t>Ishmaelite/Midianite terminology can overlap among related desert trading groups.</w:t>
            </w:r>
          </w:p>
        </w:tc>
      </w:tr>
      <w:tr>
        <w:tc>
          <w:tcPr>
            <w:tcW w:type="dxa" w:w="3552"/>
            <w:vAlign w:val="top"/>
          </w:tcPr>
          <w:p>
            <w:pPr>
              <w:spacing w:after="0"/>
            </w:pPr>
            <w:r>
              <w:rPr>
                <w:rFonts w:ascii="Times New Roman" w:hAnsi="Times New Roman"/>
                <w:sz w:val="15"/>
              </w:rPr>
              <w:t>Gen. 37:28</w:t>
            </w:r>
          </w:p>
        </w:tc>
        <w:tc>
          <w:tcPr>
            <w:tcW w:type="dxa" w:w="3552"/>
            <w:vAlign w:val="top"/>
          </w:tcPr>
          <w:p>
            <w:pPr>
              <w:spacing w:after="0"/>
            </w:pPr>
            <w:r>
              <w:rPr>
                <w:rFonts w:ascii="Times New Roman" w:hAnsi="Times New Roman"/>
                <w:sz w:val="15"/>
              </w:rPr>
              <w:t>Lev. 27:5</w:t>
            </w:r>
          </w:p>
        </w:tc>
        <w:tc>
          <w:tcPr>
            <w:tcW w:type="dxa" w:w="3552"/>
            <w:vAlign w:val="top"/>
          </w:tcPr>
          <w:p>
            <w:pPr>
              <w:spacing w:after="0"/>
            </w:pPr>
            <w:r>
              <w:rPr>
                <w:rFonts w:ascii="Times New Roman" w:hAnsi="Times New Roman"/>
                <w:sz w:val="15"/>
              </w:rPr>
              <w:t>Twenty shekels later corresponds to valuation of a male aged 5–20; comparison, not stated transaction law.</w:t>
            </w:r>
          </w:p>
        </w:tc>
      </w:tr>
      <w:tr>
        <w:tc>
          <w:tcPr>
            <w:tcW w:type="dxa" w:w="3552"/>
            <w:vAlign w:val="top"/>
          </w:tcPr>
          <w:p>
            <w:pPr>
              <w:spacing w:after="0"/>
            </w:pPr>
            <w:r>
              <w:rPr>
                <w:rFonts w:ascii="Times New Roman" w:hAnsi="Times New Roman"/>
                <w:sz w:val="15"/>
              </w:rPr>
              <w:t>Gen. 37:31–33</w:t>
            </w:r>
          </w:p>
        </w:tc>
        <w:tc>
          <w:tcPr>
            <w:tcW w:type="dxa" w:w="3552"/>
            <w:vAlign w:val="top"/>
          </w:tcPr>
          <w:p>
            <w:pPr>
              <w:spacing w:after="0"/>
            </w:pPr>
            <w:r>
              <w:rPr>
                <w:rFonts w:ascii="Times New Roman" w:hAnsi="Times New Roman"/>
                <w:sz w:val="15"/>
              </w:rPr>
              <w:t>Gen. 27</w:t>
            </w:r>
          </w:p>
        </w:tc>
        <w:tc>
          <w:tcPr>
            <w:tcW w:type="dxa" w:w="3552"/>
            <w:vAlign w:val="top"/>
          </w:tcPr>
          <w:p>
            <w:pPr>
              <w:spacing w:after="0"/>
            </w:pPr>
            <w:r>
              <w:rPr>
                <w:rFonts w:ascii="Times New Roman" w:hAnsi="Times New Roman"/>
                <w:sz w:val="15"/>
              </w:rPr>
              <w:t>Goat + garment deception deliberately recalls Jacob’s deception of Isaac.</w:t>
            </w:r>
          </w:p>
        </w:tc>
      </w:tr>
      <w:tr>
        <w:tc>
          <w:tcPr>
            <w:tcW w:type="dxa" w:w="3552"/>
            <w:vAlign w:val="top"/>
          </w:tcPr>
          <w:p>
            <w:pPr>
              <w:spacing w:after="0"/>
            </w:pPr>
            <w:r>
              <w:rPr>
                <w:rFonts w:ascii="Times New Roman" w:hAnsi="Times New Roman"/>
                <w:sz w:val="15"/>
              </w:rPr>
              <w:t>Gen. 37:35</w:t>
            </w:r>
          </w:p>
        </w:tc>
        <w:tc>
          <w:tcPr>
            <w:tcW w:type="dxa" w:w="3552"/>
            <w:vAlign w:val="top"/>
          </w:tcPr>
          <w:p>
            <w:pPr>
              <w:spacing w:after="0"/>
            </w:pPr>
            <w:r>
              <w:rPr>
                <w:rFonts w:ascii="Times New Roman" w:hAnsi="Times New Roman"/>
                <w:sz w:val="15"/>
              </w:rPr>
              <w:t>Sheol</w:t>
            </w:r>
          </w:p>
        </w:tc>
        <w:tc>
          <w:tcPr>
            <w:tcW w:type="dxa" w:w="3552"/>
            <w:vAlign w:val="top"/>
          </w:tcPr>
          <w:p>
            <w:pPr>
              <w:spacing w:after="0"/>
            </w:pPr>
            <w:r>
              <w:rPr>
                <w:rFonts w:ascii="Times New Roman" w:hAnsi="Times New Roman"/>
                <w:sz w:val="15"/>
              </w:rPr>
              <w:t>Context means death/grave; word-etymology speculation kept secondary.</w:t>
            </w:r>
          </w:p>
        </w:tc>
      </w:tr>
      <w:tr>
        <w:tc>
          <w:tcPr>
            <w:tcW w:type="dxa" w:w="3552"/>
            <w:vAlign w:val="top"/>
          </w:tcPr>
          <w:p>
            <w:pPr>
              <w:spacing w:after="0"/>
            </w:pPr>
            <w:r>
              <w:rPr>
                <w:rFonts w:ascii="Times New Roman" w:hAnsi="Times New Roman"/>
                <w:sz w:val="15"/>
              </w:rPr>
              <w:t>Gen. 37:36</w:t>
            </w:r>
          </w:p>
        </w:tc>
        <w:tc>
          <w:tcPr>
            <w:tcW w:type="dxa" w:w="3552"/>
            <w:vAlign w:val="top"/>
          </w:tcPr>
          <w:p>
            <w:pPr>
              <w:spacing w:after="0"/>
            </w:pPr>
            <w:r>
              <w:rPr>
                <w:rFonts w:ascii="Times New Roman" w:hAnsi="Times New Roman"/>
                <w:sz w:val="15"/>
              </w:rPr>
              <w:t>Psa. 105:17</w:t>
            </w:r>
          </w:p>
        </w:tc>
        <w:tc>
          <w:tcPr>
            <w:tcW w:type="dxa" w:w="3552"/>
            <w:vAlign w:val="top"/>
          </w:tcPr>
          <w:p>
            <w:pPr>
              <w:spacing w:after="0"/>
            </w:pPr>
            <w:r>
              <w:rPr>
                <w:rFonts w:ascii="Times New Roman" w:hAnsi="Times New Roman"/>
                <w:sz w:val="15"/>
              </w:rPr>
              <w:t>Later Scripture explicitly frames Joseph’s sale within providential advance.</w:t>
            </w:r>
          </w:p>
        </w:tc>
      </w:tr>
    </w:tbl>
    <w:p>
      <w:pPr>
        <w:pStyle w:val="Heading1"/>
      </w:pPr>
      <w:r>
        <w:t>RESIDUAL UNCERTAINTIES</w:t>
      </w:r>
    </w:p>
    <w:p>
      <w:pPr/>
      <w:r>
        <w:rPr>
          <w:i w:val="0"/>
        </w:rPr>
        <w:t>The precise appearance of Joseph’s ketonet passim is uncertain; “long/full distinctive robe” is safer than insisting on many colours. The exact motive and circumstances behind Joseph’s evil report are not stated. The sun/moon symbolism becomes difficult because Rachel is already dead, so Mansfield’s resurrection reading is retained as typological interpretation rather than an explicit explanation in Genesis 37. Detailed one-to-one Joseph/Christ parallels should be accepted only where the texts genuinely correspond.</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1"/>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6" w:after="21"/>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