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GENESIS 38</w:t>
      </w:r>
    </w:p>
    <w:p>
      <w:pPr>
        <w:pStyle w:val="Subtitle"/>
      </w:pPr>
      <w:r>
        <w:t>JUDAH AMONG THE CANAANITES • ER AND ONAN • TAMAR’S PLEDGE • “MORE RIGHTEOUS THAN I” • PEREZ AND ZERAH</w:t>
      </w:r>
    </w:p>
    <w:p>
      <w:pPr/>
      <w:r>
        <w:rPr>
          <w:i/>
        </w:rPr>
        <w:t>H. P. Mansfield Bible notes — checked and arranged in verse-by-verse Expositor style</w:t>
      </w:r>
    </w:p>
    <w:p>
      <w:pPr/>
      <w:r>
        <w:rPr>
          <w:i w:val="0"/>
        </w:rPr>
        <w:t>Source: HPB 01-Gen01-Gen41.PDF, principally Genesis 38 photographed pages 95–96</w:t>
      </w:r>
    </w:p>
    <w:p>
      <w:pPr>
        <w:pStyle w:val="Heading1"/>
      </w:pPr>
      <w:r>
        <w:t>CHAPTER OVERVIEW</w:t>
      </w:r>
    </w:p>
    <w:p>
      <w:pPr/>
      <w:r>
        <w:rPr>
          <w:i w:val="0"/>
        </w:rPr>
        <w:t>Genesis 38 interrupts the Joseph narrative to expose moral danger within Judah’s branch of Jacob’s family. Judah separates from his brethren, marries into Canaanite society, fails to protect Tamar’s family rights, and then condemns in Tamar conduct in which he himself has participated. The chapter is striking evidence of the candour of Scripture: the failures of the tribe from which David and the Messiah will come are not concealed.</w:t>
      </w:r>
    </w:p>
    <w:p>
      <w:pPr/>
      <w:r>
        <w:rPr>
          <w:i w:val="0"/>
        </w:rPr>
        <w:t>Mansfield also sees the chapter as helping explain the providential value of Israel’s later separation in Egypt. Genesis 46:34 notes Egyptian aversion to Hebrew shepherds, and Genesis 50:20 says that Joseph’s Egyptian experience ultimately served the saving of life. That wider providential reading is reasonable, but the immediate chapter should first be read as the morally complex history of Judah and Tamar.</w:t>
      </w:r>
    </w:p>
    <w:p>
      <w:pPr>
        <w:pStyle w:val="Heading1"/>
      </w:pPr>
      <w:r>
        <w:t>JUDAH LEAVES HIS BRETHREN — GENESIS 38:1–6</w:t>
      </w:r>
    </w:p>
    <w:p>
      <w:pPr>
        <w:pStyle w:val="Heading2"/>
      </w:pPr>
      <w:r>
        <w:t>Genesis 38:1 — “Judah went down from his brethren”</w:t>
      </w:r>
    </w:p>
    <w:p>
      <w:pPr/>
      <w:r>
        <w:rPr>
          <w:i w:val="0"/>
        </w:rPr>
        <w:t>Judah turns aside toward Hirah the Adullamite. Mansfield reads the geographic and social movement as the beginning of spiritual decline. The phrase “at that time” does not provide enough information for an exact chronology. Mansfield’s attempt to place much of the chapter earlier than Joseph’s sale is motivated by Genesis 46:12, where Perez already has sons when the family enters Egypt; the reconstruction is plausible but not certain enough to turn into an exact age-table.</w:t>
      </w:r>
    </w:p>
    <w:p>
      <w:pPr>
        <w:pStyle w:val="Heading2"/>
      </w:pPr>
      <w:r>
        <w:t>Genesis 38:2–5 — Canaanite marriage and three sons</w:t>
      </w:r>
    </w:p>
    <w:p>
      <w:pPr/>
      <w:r>
        <w:rPr>
          <w:i w:val="0"/>
        </w:rPr>
        <w:t>Judah sees the daughter of a Canaanite named Shua and marries her. Shua is the father’s name; Judah’s wife is not herself named in this chapter. The marriage recalls earlier warnings about assimilation with Canaanite households (Genesis 24:3; 26:34–35). Their sons are Er, Onan and Shelah. Mansfield supplies several name meanings, but the narrative itself does not build its argument on those etymologies, so uncertain glosses are not presented as facts.</w:t>
      </w:r>
    </w:p>
    <w:p>
      <w:pPr>
        <w:pStyle w:val="Heading2"/>
      </w:pPr>
      <w:r>
        <w:t>Genesis 38:6 — Tamar enters the royal line</w:t>
      </w:r>
    </w:p>
    <w:p>
      <w:pPr/>
      <w:r>
        <w:rPr>
          <w:i w:val="0"/>
        </w:rPr>
        <w:t>Judah obtains Tamar as wife for Er his firstborn. Her nationality is not stated. Mansfield’s suggestion that she may have been of Semitic/Abrahamic descent is conjectural. What is secure is her later importance: Perez, her son by Judah, stands in the genealogy leading to David (Ruth 4:12,18–22) and to Jesus (Matthew 1:3).</w:t>
      </w:r>
    </w:p>
    <w:p>
      <w:pPr>
        <w:pStyle w:val="Heading1"/>
      </w:pPr>
      <w:r>
        <w:t>ER, ONAN AND THE BROTHER-IN-LAW DUTY — GENESIS 38:7–11</w:t>
      </w:r>
    </w:p>
    <w:p>
      <w:pPr>
        <w:pStyle w:val="Heading2"/>
      </w:pPr>
      <w:r>
        <w:t>Genesis 38:7 — Er’s wickedness</w:t>
      </w:r>
    </w:p>
    <w:p>
      <w:pPr/>
      <w:r>
        <w:rPr>
          <w:i w:val="0"/>
        </w:rPr>
        <w:t>Er is “wicked in the sight of Yahweh; and Yahweh slew him.” Scripture gives no details of his offence. Mansfield speculates about a particular sexual perversion; that goes beyond the text and has therefore not been retained as fact. The inspired record is intentionally terse: Er’s conduct was evil and brought Divine judgment.</w:t>
      </w:r>
    </w:p>
    <w:p>
      <w:pPr>
        <w:pStyle w:val="Heading2"/>
      </w:pPr>
      <w:r>
        <w:t>Genesis 38:8 — yabbem: perform the duty of a husband’s brother</w:t>
      </w:r>
    </w:p>
    <w:p>
      <w:pPr/>
      <w:r>
        <w:rPr>
          <w:i w:val="0"/>
        </w:rPr>
        <w:t>Judah tells Onan to marry his brother’s widow and “raise up seed” to Er. The Hebrew verb is related to y-b-m, the specific duty later regulated in Deuteronomy 25:5–10. The English term “levirate” comes from Latin levir, husband’s brother; it is not derived from the tribe of Levi. Genesis shows the family custom existing before the Mosaic legislation.</w:t>
      </w:r>
    </w:p>
    <w:p>
      <w:pPr>
        <w:pStyle w:val="Heading2"/>
      </w:pPr>
      <w:r>
        <w:t>Genesis 38:9–10 — Onan’s actual offence</w:t>
      </w:r>
    </w:p>
    <w:p>
      <w:pPr/>
      <w:r>
        <w:rPr>
          <w:i w:val="0"/>
        </w:rPr>
        <w:t>Onan knows the offspring would be reckoned to his dead brother and deliberately frustrates conception whenever he has intercourse with Tamar. The text itself identifies his motive: “lest that he should give seed to his brother.” His sin is therefore not adequately described as a general condemnation of masturbation or contraception. He exploits Tamar sexually while selfishly refusing the family obligation he has accepted. Yahweh judges the deliberate deception and refusal, and Onan also dies.</w:t>
      </w:r>
    </w:p>
    <w:p>
      <w:pPr>
        <w:pStyle w:val="Heading2"/>
      </w:pPr>
      <w:r>
        <w:t>Genesis 38:11 — Shelah withheld</w:t>
      </w:r>
    </w:p>
    <w:p>
      <w:pPr/>
      <w:r>
        <w:rPr>
          <w:i w:val="0"/>
        </w:rPr>
        <w:t>Judah sends Tamar back to her father’s house as a widow until Shelah grows up, while privately fearing that Shelah may die like his brothers. When Shelah is grown, Judah does not give him to Tamar. Judah therefore avoids confronting the wickedness of his sons and leaves Tamar’s promised position unresolved.</w:t>
      </w:r>
    </w:p>
    <w:p>
      <w:pPr>
        <w:pStyle w:val="Heading1"/>
      </w:pPr>
      <w:r>
        <w:t>TAMAR’S PLAN AND JUDAH’S PLEDGE — GENESIS 38:12–23</w:t>
      </w:r>
    </w:p>
    <w:p>
      <w:pPr>
        <w:pStyle w:val="Heading2"/>
      </w:pPr>
      <w:r>
        <w:t>Genesis 38:12–14 — widow’s garments removed</w:t>
      </w:r>
    </w:p>
    <w:p>
      <w:pPr/>
      <w:r>
        <w:rPr>
          <w:i w:val="0"/>
        </w:rPr>
        <w:t>After Judah’s wife dies and his mourning period ends, he goes toward Timnah for sheep-shearing. Tamar learns of the journey, removes her widow’s garments, veils herself and sits at the entrance/gate of Enaim on the road. The text explicitly gives her reason: Shelah is grown, yet she has not been given to him. Her action must therefore be understood against Judah’s broken undertaking, without treating the deception itself as an uncomplicated moral ideal.</w:t>
      </w:r>
    </w:p>
    <w:p>
      <w:pPr>
        <w:pStyle w:val="Heading2"/>
      </w:pPr>
      <w:r>
        <w:t>Genesis 38:15–18 — zonah and the personal pledge</w:t>
      </w:r>
    </w:p>
    <w:p>
      <w:pPr/>
      <w:r>
        <w:rPr>
          <w:i w:val="0"/>
        </w:rPr>
        <w:t>Judah sees the veiled Tamar and assumes she is a zonah, an ordinary prostitute. He offers a kid from the flock. Tamar requires a pledge until payment arrives: Judah’s signet, its cord, and his staff. These are highly personal identifiers, comparable to a signature and distinctive possessions; they later make denial impossible.</w:t>
      </w:r>
    </w:p>
    <w:p>
      <w:pPr/>
      <w:r>
        <w:rPr>
          <w:i w:val="0"/>
        </w:rPr>
        <w:t>The KJV “bracelets” is misleading here. The Hebrew pathil means cord/thread; the phrase refers naturally to the cord attached to the seal or signet, not necessarily wrist bracelets. This has been corrected in the notes.</w:t>
      </w:r>
    </w:p>
    <w:p>
      <w:pPr>
        <w:pStyle w:val="Heading2"/>
      </w:pPr>
      <w:r>
        <w:t>Genesis 38:19–23 — qedeshah, a cult prostitute</w:t>
      </w:r>
    </w:p>
    <w:p>
      <w:pPr/>
      <w:r>
        <w:rPr>
          <w:i w:val="0"/>
        </w:rPr>
        <w:t>Afterwards Tamar resumes her widow’s clothing. Hirah is sent with the kid to recover Judah’s pledge, but he asks for a qedeshah. This is a different word from zonah and denotes a “consecrated” woman, commonly a cult prostitute associated with pagan worship. The local men say there was no qedeshah there. Judah decides to abandon the search “lest we be shamed,” revealing concern for reputation while the deeper wrongdoing remains unaddressed.</w:t>
      </w:r>
    </w:p>
    <w:p>
      <w:pPr>
        <w:pStyle w:val="Heading1"/>
      </w:pPr>
      <w:r>
        <w:t>JUDAH EXPOSED — GENESIS 38:24–26</w:t>
      </w:r>
    </w:p>
    <w:p>
      <w:pPr>
        <w:pStyle w:val="Heading2"/>
      </w:pPr>
      <w:r>
        <w:t>Genesis 38:24 — hypocritical severity</w:t>
      </w:r>
    </w:p>
    <w:p>
      <w:pPr/>
      <w:r>
        <w:rPr>
          <w:i w:val="0"/>
        </w:rPr>
        <w:t>About three months later Judah learns that Tamar is pregnant and immediately orders, “Bring her forth, and let her be burnt.” The narrative gives no evidence that Judah possessed a divinely authorised legal right to impose this particular penalty. Later Mosaic penalties, such as Leviticus 21:9 concerning a priest’s daughter, should not be retrojected as proof of a patriarchal statute applying to Tamar. The important narrative point is Judah’s severe condemnation of conduct in which he has himself participated.</w:t>
      </w:r>
    </w:p>
    <w:p>
      <w:pPr>
        <w:pStyle w:val="Heading2"/>
      </w:pPr>
      <w:r>
        <w:t>Genesis 38:25 — “Discern, I pray thee”</w:t>
      </w:r>
    </w:p>
    <w:p>
      <w:pPr/>
      <w:r>
        <w:rPr>
          <w:i w:val="0"/>
        </w:rPr>
        <w:t>Tamar produces the signet, cord and staff and asks Judah to identify their owner. The Hebrew verb nakar, recognise/discern, is the same key verb used in Genesis 37:32–33 when Judah and his brothers sent Joseph’s coat to Jacob with “know now” whether it was Joseph’s. The verbal echo is morally powerful: the man involved in forcing his father to recognise deceptive evidence is now forced to recognise evidence against himself.</w:t>
      </w:r>
    </w:p>
    <w:p>
      <w:pPr>
        <w:pStyle w:val="Heading2"/>
      </w:pPr>
      <w:r>
        <w:t>Genesis 38:26 — “She hath been more righteous than I”</w:t>
      </w:r>
    </w:p>
    <w:p>
      <w:pPr/>
      <w:r>
        <w:rPr>
          <w:i w:val="0"/>
        </w:rPr>
        <w:t>Judah acknowledges the objects and says Tamar is “more righteous than I, because that I gave her not to Shelah my son.” The wording does not pronounce every feature of Tamar’s scheme sinless. Hebrew tsadaq/tsedaqah language here means that she is more in the right, or has the more just cause, in the dispute between them. Judah publicly accepts responsibility for withholding Shelah. He has no further sexual relations with Tamar.</w:t>
      </w:r>
    </w:p>
    <w:p>
      <w:pPr>
        <w:pStyle w:val="Heading1"/>
      </w:pPr>
      <w:r>
        <w:t>PEREZ AND ZERAH — GENESIS 38:27–30</w:t>
      </w:r>
    </w:p>
    <w:p>
      <w:pPr>
        <w:pStyle w:val="Heading2"/>
      </w:pPr>
      <w:r>
        <w:t>Genesis 38:27–29 — the breach</w:t>
      </w:r>
    </w:p>
    <w:p>
      <w:pPr/>
      <w:r>
        <w:rPr>
          <w:i w:val="0"/>
        </w:rPr>
        <w:t>Tamar gives birth to twins. One child puts out a hand and receives a scarlet thread, but withdraws it; the other unexpectedly breaks forth first. The midwife exclaims over the “breach,” and he is named Perez (KJV Pharez), from the word for breaking through or breach. The birth motif becomes important in the royal genealogy: Ruth 4:12,18 begins David’s line from Perez, and Matthew 1:3 names “Phares and Zara of Thamar.”</w:t>
      </w:r>
    </w:p>
    <w:p>
      <w:pPr>
        <w:pStyle w:val="Heading2"/>
      </w:pPr>
      <w:r>
        <w:t>Genesis 38:30 — Zerah and the scarlet thread</w:t>
      </w:r>
    </w:p>
    <w:p>
      <w:pPr/>
      <w:r>
        <w:rPr>
          <w:i w:val="0"/>
        </w:rPr>
        <w:t>The second twin, whose hand bore the scarlet thread, is named Zerah. The name is commonly connected with rising, shining or dawning. Mansfield constructs an extended allegory in which Perez and Zerah represent Law and Grace. It is an ingenious Christadelphian exposition, but Genesis does not itself identify the twins with the two covenants; the typology is therefore preserved as interpretation rather than as the literal meaning of their birth order.</w:t>
      </w:r>
    </w:p>
    <w:p>
      <w:pPr>
        <w:pStyle w:val="Heading1"/>
      </w:pPr>
      <w:r>
        <w:t>WHY GENESIS 38 MATTERS</w:t>
      </w:r>
    </w:p>
    <w:p>
      <w:pPr/>
      <w:r>
        <w:rPr>
          <w:i w:val="0"/>
        </w:rPr>
        <w:t>The chapter is essential to the larger story. Judah’s Canaanite assimilation and the conduct of his sons show how vulnerable Jacob’s family is to the surrounding culture. At the same time, the Messianic line advances through a situation full of human failure, demonstrating that election rests on Divine purpose rather than ancestral moral perfection. Matthew’s explicit inclusion of Tamar and Perez ensures that this difficult history remains part of the Gospel genealogy rather than something Scripture attempts to conceal.</w:t>
      </w:r>
    </w:p>
    <w:p>
      <w:pPr>
        <w:pStyle w:val="Heading1"/>
      </w:pPr>
      <w:r>
        <w:t>PRINCIPAL THEMES</w:t>
      </w:r>
    </w:p>
    <w:p>
      <w:pPr>
        <w:ind w:left="259" w:hanging="202"/>
      </w:pPr>
      <w:r>
        <w:rPr>
          <w:b/>
        </w:rPr>
        <w:t xml:space="preserve">• </w:t>
      </w:r>
      <w:r>
        <w:t>Inspired Scripture records shameful ancestral conduct without suppressing it.</w:t>
      </w:r>
    </w:p>
    <w:p>
      <w:pPr>
        <w:ind w:left="259" w:hanging="202"/>
      </w:pPr>
      <w:r>
        <w:rPr>
          <w:b/>
        </w:rPr>
        <w:t xml:space="preserve">• </w:t>
      </w:r>
      <w:r>
        <w:t>Judah’s separation from his brethren and Canaanite assimilation bring serious moral danger.</w:t>
      </w:r>
    </w:p>
    <w:p>
      <w:pPr>
        <w:ind w:left="259" w:hanging="202"/>
      </w:pPr>
      <w:r>
        <w:rPr>
          <w:b/>
        </w:rPr>
        <w:t xml:space="preserve">• </w:t>
      </w:r>
      <w:r>
        <w:t>Onan’s offence is selfish frustration of brother-in-law responsibility while exploiting Tamar.</w:t>
      </w:r>
    </w:p>
    <w:p>
      <w:pPr>
        <w:ind w:left="259" w:hanging="202"/>
      </w:pPr>
      <w:r>
        <w:rPr>
          <w:b/>
        </w:rPr>
        <w:t xml:space="preserve">• </w:t>
      </w:r>
      <w:r>
        <w:t>A broken promise to Tamar lies behind her desperate and deceptive strategy.</w:t>
      </w:r>
    </w:p>
    <w:p>
      <w:pPr>
        <w:ind w:left="259" w:hanging="202"/>
      </w:pPr>
      <w:r>
        <w:rPr>
          <w:b/>
        </w:rPr>
        <w:t xml:space="preserve">• </w:t>
      </w:r>
      <w:r>
        <w:t>Judah’s hypocrisy is exposed through the very personal pledge he left behind.</w:t>
      </w:r>
    </w:p>
    <w:p>
      <w:pPr>
        <w:ind w:left="259" w:hanging="202"/>
      </w:pPr>
      <w:r>
        <w:rPr>
          <w:b/>
        </w:rPr>
        <w:t xml:space="preserve">• </w:t>
      </w:r>
      <w:r>
        <w:t>“More righteous than I” is Judah’s confession of comparative right, not blanket approval of every action.</w:t>
      </w:r>
    </w:p>
    <w:p>
      <w:pPr>
        <w:ind w:left="259" w:hanging="202"/>
      </w:pPr>
      <w:r>
        <w:rPr>
          <w:b/>
        </w:rPr>
        <w:t xml:space="preserve">• </w:t>
      </w:r>
      <w:r>
        <w:t>Perez carries the line to David and ultimately Christ despite the deeply flawed circumstances.</w:t>
      </w:r>
    </w:p>
    <w:p>
      <w:pPr>
        <w:pStyle w:val="Heading1"/>
        <w:pageBreakBefore/>
      </w:pPr>
      <w:r>
        <w:t>EDITORIAL VERIFICATION AND RECOVERED READINGS</w:t>
      </w:r>
    </w:p>
    <w:tbl>
      <w:tblPr>
        <w:tblStyle w:val="TableGrid"/>
        <w:tblW w:type="auto" w:w="0"/>
        <w:jc w:val="center"/>
        <w:tblLook w:firstColumn="1" w:firstRow="1" w:lastColumn="0" w:lastRow="0" w:noHBand="0" w:noVBand="1" w:val="04A0"/>
      </w:tblPr>
      <w:tblGrid>
        <w:gridCol w:w="3552"/>
        <w:gridCol w:w="3552"/>
        <w:gridCol w:w="3552"/>
      </w:tblGrid>
      <w:tr>
        <w:tc>
          <w:tcPr>
            <w:tcW w:type="dxa" w:w="3552"/>
          </w:tcPr>
          <w:p>
            <w:r>
              <w:rPr>
                <w:rFonts w:ascii="Arial" w:hAnsi="Arial"/>
                <w:b/>
                <w:sz w:val="16"/>
              </w:rPr>
              <w:t>Location</w:t>
            </w:r>
          </w:p>
        </w:tc>
        <w:tc>
          <w:tcPr>
            <w:tcW w:type="dxa" w:w="3552"/>
          </w:tcPr>
          <w:p>
            <w:r>
              <w:rPr>
                <w:rFonts w:ascii="Arial" w:hAnsi="Arial"/>
                <w:b/>
                <w:sz w:val="16"/>
              </w:rPr>
              <w:t>Checked / corrected reading</w:t>
            </w:r>
          </w:p>
        </w:tc>
        <w:tc>
          <w:tcPr>
            <w:tcW w:type="dxa" w:w="3552"/>
          </w:tcPr>
          <w:p>
            <w:r>
              <w:rPr>
                <w:rFonts w:ascii="Arial" w:hAnsi="Arial"/>
                <w:b/>
                <w:sz w:val="16"/>
              </w:rPr>
              <w:t>Basis</w:t>
            </w:r>
          </w:p>
        </w:tc>
      </w:tr>
      <w:tr>
        <w:tc>
          <w:tcPr>
            <w:tcW w:type="dxa" w:w="3552"/>
            <w:vAlign w:val="top"/>
          </w:tcPr>
          <w:p>
            <w:pPr>
              <w:spacing w:after="0"/>
            </w:pPr>
            <w:r>
              <w:rPr>
                <w:rFonts w:ascii="Times New Roman" w:hAnsi="Times New Roman"/>
                <w:sz w:val="15"/>
              </w:rPr>
              <w:t>Gen. 38:1</w:t>
            </w:r>
          </w:p>
        </w:tc>
        <w:tc>
          <w:tcPr>
            <w:tcW w:type="dxa" w:w="3552"/>
            <w:vAlign w:val="top"/>
          </w:tcPr>
          <w:p>
            <w:pPr>
              <w:spacing w:after="0"/>
            </w:pPr>
            <w:r>
              <w:rPr>
                <w:rFonts w:ascii="Times New Roman" w:hAnsi="Times New Roman"/>
                <w:sz w:val="15"/>
              </w:rPr>
              <w:t>chronology uncertain</w:t>
            </w:r>
          </w:p>
        </w:tc>
        <w:tc>
          <w:tcPr>
            <w:tcW w:type="dxa" w:w="3552"/>
            <w:vAlign w:val="top"/>
          </w:tcPr>
          <w:p>
            <w:pPr>
              <w:spacing w:after="0"/>
            </w:pPr>
            <w:r>
              <w:rPr>
                <w:rFonts w:ascii="Times New Roman" w:hAnsi="Times New Roman"/>
                <w:sz w:val="15"/>
              </w:rPr>
              <w:t>Genesis 46:12 motivates an earlier dating, but exact placement is reconstructed rather than stated.</w:t>
            </w:r>
          </w:p>
        </w:tc>
      </w:tr>
      <w:tr>
        <w:tc>
          <w:tcPr>
            <w:tcW w:type="dxa" w:w="3552"/>
            <w:vAlign w:val="top"/>
          </w:tcPr>
          <w:p>
            <w:pPr>
              <w:spacing w:after="0"/>
            </w:pPr>
            <w:r>
              <w:rPr>
                <w:rFonts w:ascii="Times New Roman" w:hAnsi="Times New Roman"/>
                <w:sz w:val="15"/>
              </w:rPr>
              <w:t>Gen. 38:2</w:t>
            </w:r>
          </w:p>
        </w:tc>
        <w:tc>
          <w:tcPr>
            <w:tcW w:type="dxa" w:w="3552"/>
            <w:vAlign w:val="top"/>
          </w:tcPr>
          <w:p>
            <w:pPr>
              <w:spacing w:after="0"/>
            </w:pPr>
            <w:r>
              <w:rPr>
                <w:rFonts w:ascii="Times New Roman" w:hAnsi="Times New Roman"/>
                <w:sz w:val="15"/>
              </w:rPr>
              <w:t>Shua = father-in-law</w:t>
            </w:r>
          </w:p>
        </w:tc>
        <w:tc>
          <w:tcPr>
            <w:tcW w:type="dxa" w:w="3552"/>
            <w:vAlign w:val="top"/>
          </w:tcPr>
          <w:p>
            <w:pPr>
              <w:spacing w:after="0"/>
            </w:pPr>
            <w:r>
              <w:rPr>
                <w:rFonts w:ascii="Times New Roman" w:hAnsi="Times New Roman"/>
                <w:sz w:val="15"/>
              </w:rPr>
              <w:t>The Canaanite is named Shua; Judah’s wife remains unnamed in the chapter.</w:t>
            </w:r>
          </w:p>
        </w:tc>
      </w:tr>
      <w:tr>
        <w:tc>
          <w:tcPr>
            <w:tcW w:type="dxa" w:w="3552"/>
            <w:vAlign w:val="top"/>
          </w:tcPr>
          <w:p>
            <w:pPr>
              <w:spacing w:after="0"/>
            </w:pPr>
            <w:r>
              <w:rPr>
                <w:rFonts w:ascii="Times New Roman" w:hAnsi="Times New Roman"/>
                <w:sz w:val="15"/>
              </w:rPr>
              <w:t>Gen. 38:6</w:t>
            </w:r>
          </w:p>
        </w:tc>
        <w:tc>
          <w:tcPr>
            <w:tcW w:type="dxa" w:w="3552"/>
            <w:vAlign w:val="top"/>
          </w:tcPr>
          <w:p>
            <w:pPr>
              <w:spacing w:after="0"/>
            </w:pPr>
            <w:r>
              <w:rPr>
                <w:rFonts w:ascii="Times New Roman" w:hAnsi="Times New Roman"/>
                <w:sz w:val="15"/>
              </w:rPr>
              <w:t>Ruth 4:12,18–22; Matt. 1:3</w:t>
            </w:r>
          </w:p>
        </w:tc>
        <w:tc>
          <w:tcPr>
            <w:tcW w:type="dxa" w:w="3552"/>
            <w:vAlign w:val="top"/>
          </w:tcPr>
          <w:p>
            <w:pPr>
              <w:spacing w:after="0"/>
            </w:pPr>
            <w:r>
              <w:rPr>
                <w:rFonts w:ascii="Times New Roman" w:hAnsi="Times New Roman"/>
                <w:sz w:val="15"/>
              </w:rPr>
              <w:t>Tamar/Perez securely belong to the Davidic and Messianic genealogy.</w:t>
            </w:r>
          </w:p>
        </w:tc>
      </w:tr>
      <w:tr>
        <w:tc>
          <w:tcPr>
            <w:tcW w:type="dxa" w:w="3552"/>
            <w:vAlign w:val="top"/>
          </w:tcPr>
          <w:p>
            <w:pPr>
              <w:spacing w:after="0"/>
            </w:pPr>
            <w:r>
              <w:rPr>
                <w:rFonts w:ascii="Times New Roman" w:hAnsi="Times New Roman"/>
                <w:sz w:val="15"/>
              </w:rPr>
              <w:t>Gen. 38:7</w:t>
            </w:r>
          </w:p>
        </w:tc>
        <w:tc>
          <w:tcPr>
            <w:tcW w:type="dxa" w:w="3552"/>
            <w:vAlign w:val="top"/>
          </w:tcPr>
          <w:p>
            <w:pPr>
              <w:spacing w:after="0"/>
            </w:pPr>
            <w:r>
              <w:rPr>
                <w:rFonts w:ascii="Times New Roman" w:hAnsi="Times New Roman"/>
                <w:sz w:val="15"/>
              </w:rPr>
              <w:t>offence unspecified</w:t>
            </w:r>
          </w:p>
        </w:tc>
        <w:tc>
          <w:tcPr>
            <w:tcW w:type="dxa" w:w="3552"/>
            <w:vAlign w:val="top"/>
          </w:tcPr>
          <w:p>
            <w:pPr>
              <w:spacing w:after="0"/>
            </w:pPr>
            <w:r>
              <w:rPr>
                <w:rFonts w:ascii="Times New Roman" w:hAnsi="Times New Roman"/>
                <w:sz w:val="15"/>
              </w:rPr>
              <w:t>Removes Mansfield’s unsupported attempt to identify Er’s particular wickedness.</w:t>
            </w:r>
          </w:p>
        </w:tc>
      </w:tr>
      <w:tr>
        <w:tc>
          <w:tcPr>
            <w:tcW w:type="dxa" w:w="3552"/>
            <w:vAlign w:val="top"/>
          </w:tcPr>
          <w:p>
            <w:pPr>
              <w:spacing w:after="0"/>
            </w:pPr>
            <w:r>
              <w:rPr>
                <w:rFonts w:ascii="Times New Roman" w:hAnsi="Times New Roman"/>
                <w:sz w:val="15"/>
              </w:rPr>
              <w:t>Gen. 38:8</w:t>
            </w:r>
          </w:p>
        </w:tc>
        <w:tc>
          <w:tcPr>
            <w:tcW w:type="dxa" w:w="3552"/>
            <w:vAlign w:val="top"/>
          </w:tcPr>
          <w:p>
            <w:pPr>
              <w:spacing w:after="0"/>
            </w:pPr>
            <w:r>
              <w:rPr>
                <w:rFonts w:ascii="Times New Roman" w:hAnsi="Times New Roman"/>
                <w:sz w:val="15"/>
              </w:rPr>
              <w:t>y-b-m; Deut. 25:5–10</w:t>
            </w:r>
          </w:p>
        </w:tc>
        <w:tc>
          <w:tcPr>
            <w:tcW w:type="dxa" w:w="3552"/>
            <w:vAlign w:val="top"/>
          </w:tcPr>
          <w:p>
            <w:pPr>
              <w:spacing w:after="0"/>
            </w:pPr>
            <w:r>
              <w:rPr>
                <w:rFonts w:ascii="Times New Roman" w:hAnsi="Times New Roman"/>
                <w:sz w:val="15"/>
              </w:rPr>
              <w:t>Specific husband’s-brother duty; “levirate” is Latin terminology, not from Levi.</w:t>
            </w:r>
          </w:p>
        </w:tc>
      </w:tr>
      <w:tr>
        <w:tc>
          <w:tcPr>
            <w:tcW w:type="dxa" w:w="3552"/>
            <w:vAlign w:val="top"/>
          </w:tcPr>
          <w:p>
            <w:pPr>
              <w:spacing w:after="0"/>
            </w:pPr>
            <w:r>
              <w:rPr>
                <w:rFonts w:ascii="Times New Roman" w:hAnsi="Times New Roman"/>
                <w:sz w:val="15"/>
              </w:rPr>
              <w:t>Gen. 38:9–10</w:t>
            </w:r>
          </w:p>
        </w:tc>
        <w:tc>
          <w:tcPr>
            <w:tcW w:type="dxa" w:w="3552"/>
            <w:vAlign w:val="top"/>
          </w:tcPr>
          <w:p>
            <w:pPr>
              <w:spacing w:after="0"/>
            </w:pPr>
            <w:r>
              <w:rPr>
                <w:rFonts w:ascii="Times New Roman" w:hAnsi="Times New Roman"/>
                <w:sz w:val="15"/>
              </w:rPr>
              <w:t>motive stated in verse</w:t>
            </w:r>
          </w:p>
        </w:tc>
        <w:tc>
          <w:tcPr>
            <w:tcW w:type="dxa" w:w="3552"/>
            <w:vAlign w:val="top"/>
          </w:tcPr>
          <w:p>
            <w:pPr>
              <w:spacing w:after="0"/>
            </w:pPr>
            <w:r>
              <w:rPr>
                <w:rFonts w:ascii="Times New Roman" w:hAnsi="Times New Roman"/>
                <w:sz w:val="15"/>
              </w:rPr>
              <w:t>Onan refuses seed to his brother; passage is not a generic masturbation text.</w:t>
            </w:r>
          </w:p>
        </w:tc>
      </w:tr>
      <w:tr>
        <w:tc>
          <w:tcPr>
            <w:tcW w:type="dxa" w:w="3552"/>
            <w:vAlign w:val="top"/>
          </w:tcPr>
          <w:p>
            <w:pPr>
              <w:spacing w:after="0"/>
            </w:pPr>
            <w:r>
              <w:rPr>
                <w:rFonts w:ascii="Times New Roman" w:hAnsi="Times New Roman"/>
                <w:sz w:val="15"/>
              </w:rPr>
              <w:t>Gen. 38:14</w:t>
            </w:r>
          </w:p>
        </w:tc>
        <w:tc>
          <w:tcPr>
            <w:tcW w:type="dxa" w:w="3552"/>
            <w:vAlign w:val="top"/>
          </w:tcPr>
          <w:p>
            <w:pPr>
              <w:spacing w:after="0"/>
            </w:pPr>
            <w:r>
              <w:rPr>
                <w:rFonts w:ascii="Times New Roman" w:hAnsi="Times New Roman"/>
                <w:sz w:val="15"/>
              </w:rPr>
              <w:t>Enaim / “open place”</w:t>
            </w:r>
          </w:p>
        </w:tc>
        <w:tc>
          <w:tcPr>
            <w:tcW w:type="dxa" w:w="3552"/>
            <w:vAlign w:val="top"/>
          </w:tcPr>
          <w:p>
            <w:pPr>
              <w:spacing w:after="0"/>
            </w:pPr>
            <w:r>
              <w:rPr>
                <w:rFonts w:ascii="Times New Roman" w:hAnsi="Times New Roman"/>
                <w:sz w:val="15"/>
              </w:rPr>
              <w:t>KJV phrase can denote the gate/entrance of Enaim on the Timnah road.</w:t>
            </w:r>
          </w:p>
        </w:tc>
      </w:tr>
      <w:tr>
        <w:tc>
          <w:tcPr>
            <w:tcW w:type="dxa" w:w="3552"/>
            <w:vAlign w:val="top"/>
          </w:tcPr>
          <w:p>
            <w:pPr>
              <w:spacing w:after="0"/>
            </w:pPr>
            <w:r>
              <w:rPr>
                <w:rFonts w:ascii="Times New Roman" w:hAnsi="Times New Roman"/>
                <w:sz w:val="15"/>
              </w:rPr>
              <w:t>Gen. 38:15</w:t>
            </w:r>
          </w:p>
        </w:tc>
        <w:tc>
          <w:tcPr>
            <w:tcW w:type="dxa" w:w="3552"/>
            <w:vAlign w:val="top"/>
          </w:tcPr>
          <w:p>
            <w:pPr>
              <w:spacing w:after="0"/>
            </w:pPr>
            <w:r>
              <w:rPr>
                <w:rFonts w:ascii="Times New Roman" w:hAnsi="Times New Roman"/>
                <w:sz w:val="15"/>
              </w:rPr>
              <w:t>zonah</w:t>
            </w:r>
          </w:p>
        </w:tc>
        <w:tc>
          <w:tcPr>
            <w:tcW w:type="dxa" w:w="3552"/>
            <w:vAlign w:val="top"/>
          </w:tcPr>
          <w:p>
            <w:pPr>
              <w:spacing w:after="0"/>
            </w:pPr>
            <w:r>
              <w:rPr>
                <w:rFonts w:ascii="Times New Roman" w:hAnsi="Times New Roman"/>
                <w:sz w:val="15"/>
              </w:rPr>
              <w:t>Ordinary prostitute/wanton woman.</w:t>
            </w:r>
          </w:p>
        </w:tc>
      </w:tr>
      <w:tr>
        <w:tc>
          <w:tcPr>
            <w:tcW w:type="dxa" w:w="3552"/>
            <w:vAlign w:val="top"/>
          </w:tcPr>
          <w:p>
            <w:pPr>
              <w:spacing w:after="0"/>
            </w:pPr>
            <w:r>
              <w:rPr>
                <w:rFonts w:ascii="Times New Roman" w:hAnsi="Times New Roman"/>
                <w:sz w:val="15"/>
              </w:rPr>
              <w:t>Gen. 38:18</w:t>
            </w:r>
          </w:p>
        </w:tc>
        <w:tc>
          <w:tcPr>
            <w:tcW w:type="dxa" w:w="3552"/>
            <w:vAlign w:val="top"/>
          </w:tcPr>
          <w:p>
            <w:pPr>
              <w:spacing w:after="0"/>
            </w:pPr>
            <w:r>
              <w:rPr>
                <w:rFonts w:ascii="Times New Roman" w:hAnsi="Times New Roman"/>
                <w:sz w:val="15"/>
              </w:rPr>
              <w:t>pathil</w:t>
            </w:r>
          </w:p>
        </w:tc>
        <w:tc>
          <w:tcPr>
            <w:tcW w:type="dxa" w:w="3552"/>
            <w:vAlign w:val="top"/>
          </w:tcPr>
          <w:p>
            <w:pPr>
              <w:spacing w:after="0"/>
            </w:pPr>
            <w:r>
              <w:rPr>
                <w:rFonts w:ascii="Times New Roman" w:hAnsi="Times New Roman"/>
                <w:sz w:val="15"/>
              </w:rPr>
              <w:t>Cord/thread attached to the signet; corrects misleading KJV “bracelets.”</w:t>
            </w:r>
          </w:p>
        </w:tc>
      </w:tr>
      <w:tr>
        <w:tc>
          <w:tcPr>
            <w:tcW w:type="dxa" w:w="3552"/>
            <w:vAlign w:val="top"/>
          </w:tcPr>
          <w:p>
            <w:pPr>
              <w:spacing w:after="0"/>
            </w:pPr>
            <w:r>
              <w:rPr>
                <w:rFonts w:ascii="Times New Roman" w:hAnsi="Times New Roman"/>
                <w:sz w:val="15"/>
              </w:rPr>
              <w:t>Gen. 38:21–22</w:t>
            </w:r>
          </w:p>
        </w:tc>
        <w:tc>
          <w:tcPr>
            <w:tcW w:type="dxa" w:w="3552"/>
            <w:vAlign w:val="top"/>
          </w:tcPr>
          <w:p>
            <w:pPr>
              <w:spacing w:after="0"/>
            </w:pPr>
            <w:r>
              <w:rPr>
                <w:rFonts w:ascii="Times New Roman" w:hAnsi="Times New Roman"/>
                <w:sz w:val="15"/>
              </w:rPr>
              <w:t>qedeshah</w:t>
            </w:r>
          </w:p>
        </w:tc>
        <w:tc>
          <w:tcPr>
            <w:tcW w:type="dxa" w:w="3552"/>
            <w:vAlign w:val="top"/>
          </w:tcPr>
          <w:p>
            <w:pPr>
              <w:spacing w:after="0"/>
            </w:pPr>
            <w:r>
              <w:rPr>
                <w:rFonts w:ascii="Times New Roman" w:hAnsi="Times New Roman"/>
                <w:sz w:val="15"/>
              </w:rPr>
              <w:t>A “consecrated”/cult prostitute; distinct vocabulary from zonah.</w:t>
            </w:r>
          </w:p>
        </w:tc>
      </w:tr>
      <w:tr>
        <w:tc>
          <w:tcPr>
            <w:tcW w:type="dxa" w:w="3552"/>
            <w:vAlign w:val="top"/>
          </w:tcPr>
          <w:p>
            <w:pPr>
              <w:spacing w:after="0"/>
            </w:pPr>
            <w:r>
              <w:rPr>
                <w:rFonts w:ascii="Times New Roman" w:hAnsi="Times New Roman"/>
                <w:sz w:val="15"/>
              </w:rPr>
              <w:t>Gen. 38:24</w:t>
            </w:r>
          </w:p>
        </w:tc>
        <w:tc>
          <w:tcPr>
            <w:tcW w:type="dxa" w:w="3552"/>
            <w:vAlign w:val="top"/>
          </w:tcPr>
          <w:p>
            <w:pPr>
              <w:spacing w:after="0"/>
            </w:pPr>
            <w:r>
              <w:rPr>
                <w:rFonts w:ascii="Times New Roman" w:hAnsi="Times New Roman"/>
                <w:sz w:val="15"/>
              </w:rPr>
              <w:t>no proven patriarchal burning statute</w:t>
            </w:r>
          </w:p>
        </w:tc>
        <w:tc>
          <w:tcPr>
            <w:tcW w:type="dxa" w:w="3552"/>
            <w:vAlign w:val="top"/>
          </w:tcPr>
          <w:p>
            <w:pPr>
              <w:spacing w:after="0"/>
            </w:pPr>
            <w:r>
              <w:rPr>
                <w:rFonts w:ascii="Times New Roman" w:hAnsi="Times New Roman"/>
                <w:sz w:val="15"/>
              </w:rPr>
              <w:t>Later Lev. 21:9 should not be retrojected as Tamar’s governing law.</w:t>
            </w:r>
          </w:p>
        </w:tc>
      </w:tr>
      <w:tr>
        <w:tc>
          <w:tcPr>
            <w:tcW w:type="dxa" w:w="3552"/>
            <w:vAlign w:val="top"/>
          </w:tcPr>
          <w:p>
            <w:pPr>
              <w:spacing w:after="0"/>
            </w:pPr>
            <w:r>
              <w:rPr>
                <w:rFonts w:ascii="Times New Roman" w:hAnsi="Times New Roman"/>
                <w:sz w:val="15"/>
              </w:rPr>
              <w:t>Gen. 38:25</w:t>
            </w:r>
          </w:p>
        </w:tc>
        <w:tc>
          <w:tcPr>
            <w:tcW w:type="dxa" w:w="3552"/>
            <w:vAlign w:val="top"/>
          </w:tcPr>
          <w:p>
            <w:pPr>
              <w:spacing w:after="0"/>
            </w:pPr>
            <w:r>
              <w:rPr>
                <w:rFonts w:ascii="Times New Roman" w:hAnsi="Times New Roman"/>
                <w:sz w:val="15"/>
              </w:rPr>
              <w:t>nakar; Gen. 37:32–33</w:t>
            </w:r>
          </w:p>
        </w:tc>
        <w:tc>
          <w:tcPr>
            <w:tcW w:type="dxa" w:w="3552"/>
            <w:vAlign w:val="top"/>
          </w:tcPr>
          <w:p>
            <w:pPr>
              <w:spacing w:after="0"/>
            </w:pPr>
            <w:r>
              <w:rPr>
                <w:rFonts w:ascii="Times New Roman" w:hAnsi="Times New Roman"/>
                <w:sz w:val="15"/>
              </w:rPr>
              <w:t>Same recognise/discern motif used in the Joseph-coat deception.</w:t>
            </w:r>
          </w:p>
        </w:tc>
      </w:tr>
      <w:tr>
        <w:tc>
          <w:tcPr>
            <w:tcW w:type="dxa" w:w="3552"/>
            <w:vAlign w:val="top"/>
          </w:tcPr>
          <w:p>
            <w:pPr>
              <w:spacing w:after="0"/>
            </w:pPr>
            <w:r>
              <w:rPr>
                <w:rFonts w:ascii="Times New Roman" w:hAnsi="Times New Roman"/>
                <w:sz w:val="15"/>
              </w:rPr>
              <w:t>Gen. 38:26</w:t>
            </w:r>
          </w:p>
        </w:tc>
        <w:tc>
          <w:tcPr>
            <w:tcW w:type="dxa" w:w="3552"/>
            <w:vAlign w:val="top"/>
          </w:tcPr>
          <w:p>
            <w:pPr>
              <w:spacing w:after="0"/>
            </w:pPr>
            <w:r>
              <w:rPr>
                <w:rFonts w:ascii="Times New Roman" w:hAnsi="Times New Roman"/>
                <w:sz w:val="15"/>
              </w:rPr>
              <w:t>more in the right</w:t>
            </w:r>
          </w:p>
        </w:tc>
        <w:tc>
          <w:tcPr>
            <w:tcW w:type="dxa" w:w="3552"/>
            <w:vAlign w:val="top"/>
          </w:tcPr>
          <w:p>
            <w:pPr>
              <w:spacing w:after="0"/>
            </w:pPr>
            <w:r>
              <w:rPr>
                <w:rFonts w:ascii="Times New Roman" w:hAnsi="Times New Roman"/>
                <w:sz w:val="15"/>
              </w:rPr>
              <w:t>Comparative vindication of Tamar’s cause; not an assertion that every means used was righteous.</w:t>
            </w:r>
          </w:p>
        </w:tc>
      </w:tr>
      <w:tr>
        <w:tc>
          <w:tcPr>
            <w:tcW w:type="dxa" w:w="3552"/>
            <w:vAlign w:val="top"/>
          </w:tcPr>
          <w:p>
            <w:pPr>
              <w:spacing w:after="0"/>
            </w:pPr>
            <w:r>
              <w:rPr>
                <w:rFonts w:ascii="Times New Roman" w:hAnsi="Times New Roman"/>
                <w:sz w:val="15"/>
              </w:rPr>
              <w:t>Gen. 38:29</w:t>
            </w:r>
          </w:p>
        </w:tc>
        <w:tc>
          <w:tcPr>
            <w:tcW w:type="dxa" w:w="3552"/>
            <w:vAlign w:val="top"/>
          </w:tcPr>
          <w:p>
            <w:pPr>
              <w:spacing w:after="0"/>
            </w:pPr>
            <w:r>
              <w:rPr>
                <w:rFonts w:ascii="Times New Roman" w:hAnsi="Times New Roman"/>
                <w:sz w:val="15"/>
              </w:rPr>
              <w:t>Perez = breach/breaking forth</w:t>
            </w:r>
          </w:p>
        </w:tc>
        <w:tc>
          <w:tcPr>
            <w:tcW w:type="dxa" w:w="3552"/>
            <w:vAlign w:val="top"/>
          </w:tcPr>
          <w:p>
            <w:pPr>
              <w:spacing w:after="0"/>
            </w:pPr>
            <w:r>
              <w:rPr>
                <w:rFonts w:ascii="Times New Roman" w:hAnsi="Times New Roman"/>
                <w:sz w:val="15"/>
              </w:rPr>
              <w:t>Birth-wordplay securely supplied by the narrative.</w:t>
            </w:r>
          </w:p>
        </w:tc>
      </w:tr>
      <w:tr>
        <w:tc>
          <w:tcPr>
            <w:tcW w:type="dxa" w:w="3552"/>
            <w:vAlign w:val="top"/>
          </w:tcPr>
          <w:p>
            <w:pPr>
              <w:spacing w:after="0"/>
            </w:pPr>
            <w:r>
              <w:rPr>
                <w:rFonts w:ascii="Times New Roman" w:hAnsi="Times New Roman"/>
                <w:sz w:val="15"/>
              </w:rPr>
              <w:t>Gen. 38:30</w:t>
            </w:r>
          </w:p>
        </w:tc>
        <w:tc>
          <w:tcPr>
            <w:tcW w:type="dxa" w:w="3552"/>
            <w:vAlign w:val="top"/>
          </w:tcPr>
          <w:p>
            <w:pPr>
              <w:spacing w:after="0"/>
            </w:pPr>
            <w:r>
              <w:rPr>
                <w:rFonts w:ascii="Times New Roman" w:hAnsi="Times New Roman"/>
                <w:sz w:val="15"/>
              </w:rPr>
              <w:t>Zerah = rising/shining</w:t>
            </w:r>
          </w:p>
        </w:tc>
        <w:tc>
          <w:tcPr>
            <w:tcW w:type="dxa" w:w="3552"/>
            <w:vAlign w:val="top"/>
          </w:tcPr>
          <w:p>
            <w:pPr>
              <w:spacing w:after="0"/>
            </w:pPr>
            <w:r>
              <w:rPr>
                <w:rFonts w:ascii="Times New Roman" w:hAnsi="Times New Roman"/>
                <w:sz w:val="15"/>
              </w:rPr>
              <w:t>Traditional lexical sense; Law/Grace scheme retained only as Mansfield typology.</w:t>
            </w:r>
          </w:p>
        </w:tc>
      </w:tr>
    </w:tbl>
    <w:p>
      <w:pPr>
        <w:pStyle w:val="Heading1"/>
      </w:pPr>
      <w:r>
        <w:t>RESIDUAL UNCERTAINTIES</w:t>
      </w:r>
    </w:p>
    <w:p>
      <w:pPr/>
      <w:r>
        <w:rPr>
          <w:i w:val="0"/>
        </w:rPr>
        <w:t>The exact chronology of Genesis 38 relative to Joseph’s sale remains reconstructed rather than explicit. Several personal-name meanings in Mansfield’s margins are too uncertain to retain as facts. Tamar’s nationality is not given. The detailed Perez/Zerah = Law/Grace scheme is typological and is not identified as such by Genesis itself. Mansfield’s proposed particular offence for Er and his attempt to derive a patriarchal burning law from later priestly legislation have not been retained.</w:t>
      </w:r>
    </w:p>
    <w:sectPr w:rsidR="00FC693F" w:rsidRPr="0006063C" w:rsidSect="00034616">
      <w:headerReference w:type="default" r:id="rId9"/>
      <w:footerReference w:type="default" r:id="rId10"/>
      <w:pgSz w:w="12240" w:h="15840"/>
      <w:pgMar w:top="778" w:right="792" w:bottom="778" w:left="792"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GENESIS 38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Times New Roman" w:hAnsi="Times New Roman"/>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80" w:after="21"/>
      <w:outlineLvl w:val="0"/>
    </w:pPr>
    <w:rPr>
      <w:rFonts w:asciiTheme="majorHAnsi" w:eastAsiaTheme="majorEastAsia" w:hAnsiTheme="majorHAnsi" w:cstheme="majorBidi" w:ascii="Arial" w:hAnsi="Arial"/>
      <w:b/>
      <w:bCs/>
      <w:color w:val="2761A1"/>
      <w:sz w:val="25"/>
      <w:szCs w:val="28"/>
    </w:rPr>
  </w:style>
  <w:style w:type="paragraph" w:styleId="Heading2">
    <w:name w:val="heading 2"/>
    <w:basedOn w:val="Normal"/>
    <w:next w:val="Normal"/>
    <w:link w:val="Heading2Char"/>
    <w:uiPriority w:val="9"/>
    <w:unhideWhenUsed/>
    <w:qFormat/>
    <w:rsid w:val="00FC693F"/>
    <w:pPr>
      <w:keepNext/>
      <w:keepLines/>
      <w:spacing w:before="46" w:after="21"/>
      <w:outlineLvl w:val="1"/>
    </w:pPr>
    <w:rPr>
      <w:rFonts w:asciiTheme="majorHAnsi" w:eastAsiaTheme="majorEastAsia" w:hAnsiTheme="majorHAnsi" w:cstheme="majorBidi" w:ascii="Arial" w:hAnsi="Arial"/>
      <w:b/>
      <w:bCs/>
      <w:color w:val="2761A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Theme="majorHAnsi" w:eastAsiaTheme="majorEastAsia" w:hAnsiTheme="majorHAnsi" w:cstheme="majorBidi" w:ascii="Arial" w:hAnsi="Arial"/>
      <w:b/>
      <w:i/>
      <w:iCs/>
      <w:color w:val="367ED2"/>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