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39</w:t>
      </w:r>
    </w:p>
    <w:p>
      <w:pPr>
        <w:pStyle w:val="Subtitle"/>
      </w:pPr>
      <w:r>
        <w:t>YAHWEH WITH JOSEPH • FAITHFUL STEWARDSHIP • TEMPTATION RESISTED • FALSE ACCUSATION • PROSPERED IN PRISON</w:t>
      </w:r>
    </w:p>
    <w:p>
      <w:pPr/>
      <w:r>
        <w:rPr>
          <w:i/>
        </w:rPr>
        <w:t>H. P. Mansfield Bible notes — checked and arranged in verse-by-verse Expositor style</w:t>
      </w:r>
    </w:p>
    <w:p>
      <w:pPr/>
      <w:r>
        <w:rPr>
          <w:i w:val="0"/>
        </w:rPr>
        <w:t>Source: HPB 01-Gen01-Gen41.PDF, principally Genesis 39 photographed pages 96–97</w:t>
      </w:r>
    </w:p>
    <w:p>
      <w:pPr>
        <w:pStyle w:val="Heading1"/>
      </w:pPr>
      <w:r>
        <w:t>CHAPTER OVERVIEW</w:t>
      </w:r>
    </w:p>
    <w:p>
      <w:pPr/>
      <w:r>
        <w:rPr>
          <w:i w:val="0"/>
        </w:rPr>
        <w:t>Genesis 39 repeatedly sets outward humiliation against inward Divine favour. Joseph is first a slave and then a prisoner, yet the governing statement is repeated: “Yahweh was with Joseph.” Prosperity therefore does not mean freedom from suffering. It means that God remains present, directs events and causes faithful service to bear fruit even inside conditions Joseph would never have chosen.</w:t>
      </w:r>
    </w:p>
    <w:p>
      <w:pPr/>
      <w:r>
        <w:rPr>
          <w:i w:val="0"/>
        </w:rPr>
        <w:t>The chapter also deepens the Joseph/Christ pattern: a faithful servant entrusted with authority, tested but refusing sin, falsely accused and made to suffer without guilt, yet still sustained by God. These parallels are retained where they genuinely fit the biblical pattern; speculative details about Potiphar’s marriage or Egyptian institutions are kept qualified.</w:t>
      </w:r>
    </w:p>
    <w:p>
      <w:pPr>
        <w:pStyle w:val="Heading1"/>
      </w:pPr>
      <w:r>
        <w:t>JOSEPH IN POTIPHAR’S HOUSE — GENESIS 39:1–6</w:t>
      </w:r>
    </w:p>
    <w:p>
      <w:pPr>
        <w:pStyle w:val="Heading2"/>
      </w:pPr>
      <w:r>
        <w:t>Genesis 39:1 — bought by Potiphar</w:t>
      </w:r>
    </w:p>
    <w:p>
      <w:pPr/>
      <w:r>
        <w:rPr>
          <w:i w:val="0"/>
        </w:rPr>
        <w:t>Joseph is brought down to Egypt and bought from the Ishmaelites by Potiphar, an Egyptian officer of Pharaoh and captain of the guard. The Hebrew title saris can denote a eunuch but is also used more broadly for a royal or court official. It therefore cannot be used to prove that Potiphar was physically a eunuch or to construct an explanation for his wife’s conduct.</w:t>
      </w:r>
    </w:p>
    <w:p>
      <w:pPr/>
      <w:r>
        <w:rPr>
          <w:i w:val="0"/>
        </w:rPr>
        <w:t>Potiphar’s name is Egyptian and the setting is recognisably Egyptian, but older attempts to date the narrative precisely to a particular Hyksos dynasty or to prove individual court titles from specific inscriptions go beyond what Genesis itself requires. The secure narrative point is that Joseph has entered a high-ranking Egyptian household.</w:t>
      </w:r>
    </w:p>
    <w:p>
      <w:pPr>
        <w:pStyle w:val="Heading2"/>
      </w:pPr>
      <w:r>
        <w:t>Genesis 39:2 — “Yahweh was with Joseph”</w:t>
      </w:r>
    </w:p>
    <w:p>
      <w:pPr/>
      <w:r>
        <w:rPr>
          <w:i w:val="0"/>
        </w:rPr>
        <w:t>Joseph is called “a prosperous man” while still a slave. The following clauses explain the prosperity: Yahweh is with him and causes the work of his hands to succeed. Acts 7:9–10 later summarises the same paradox: the patriarchs sold Joseph through envy, “but God was with him.” Divine presence is therefore compatible with severe trial.</w:t>
      </w:r>
    </w:p>
    <w:p>
      <w:pPr>
        <w:pStyle w:val="Heading2"/>
      </w:pPr>
      <w:r>
        <w:t>Genesis 39:3–4 — favour and stewardship</w:t>
      </w:r>
    </w:p>
    <w:p>
      <w:pPr/>
      <w:r>
        <w:rPr>
          <w:i w:val="0"/>
        </w:rPr>
        <w:t>Potiphar sees that Joseph’s work prospers and gives him increasing responsibility until he becomes overseer of the house and all that Potiphar has is placed “into his hand.” Joseph’s advancement rests on dependable service. The New Testament parallel with Christ as faithful Son over God’s house (Hebrews 3:5–6) is appropriate typologically, but Joseph’s immediate role is household stewardship under an Egyptian master.</w:t>
      </w:r>
    </w:p>
    <w:p>
      <w:pPr>
        <w:pStyle w:val="Heading2"/>
      </w:pPr>
      <w:r>
        <w:t>Genesis 39:5 — blessing “for Joseph’s sake”</w:t>
      </w:r>
    </w:p>
    <w:p>
      <w:pPr/>
      <w:r>
        <w:rPr>
          <w:i w:val="0"/>
        </w:rPr>
        <w:t>From the time Joseph is appointed overseer, Yahweh blesses the Egyptian’s house for Joseph’s sake, in both house and field. This continues the Abrahamic principle that blessing can reach others through the covenant family (Genesis 12:2–3). Joseph’s faithfulness becomes a means by which even an Egyptian household benefits.</w:t>
      </w:r>
    </w:p>
    <w:p>
      <w:pPr>
        <w:pStyle w:val="Heading2"/>
      </w:pPr>
      <w:r>
        <w:t>Genesis 39:6 — everything entrusted except his food</w:t>
      </w:r>
    </w:p>
    <w:p>
      <w:pPr/>
      <w:r>
        <w:rPr>
          <w:i w:val="0"/>
        </w:rPr>
        <w:t>Potiphar leaves his affairs in Joseph’s care and concerns himself only with the food he eats. Genesis 43:32 later shows an Egyptian reluctance to eat with Hebrews, so dietary or social custom may help explain the exception, but Genesis 39:6 does not state the reason. It is safest simply to recognise that Potiphar retained this one personal matter.</w:t>
      </w:r>
    </w:p>
    <w:p>
      <w:pPr/>
      <w:r>
        <w:rPr>
          <w:i w:val="0"/>
        </w:rPr>
        <w:t>Joseph is described as “a goodly person, and well favoured.” The Hebrew yefeh to’ar wiyfeh mar’eh means handsome/beautiful in form and appearance. The wording closely resembles the description of Rachel in Genesis 29:17, Joseph’s mother. His attractiveness sets the scene for the temptation that follows.</w:t>
      </w:r>
    </w:p>
    <w:p>
      <w:pPr>
        <w:pStyle w:val="Heading1"/>
      </w:pPr>
      <w:r>
        <w:t>JOSEPH RESISTS TEMPTATION — GENESIS 39:7–12</w:t>
      </w:r>
    </w:p>
    <w:p>
      <w:pPr>
        <w:pStyle w:val="Heading2"/>
      </w:pPr>
      <w:r>
        <w:t>Genesis 39:7 — “Lie with me”</w:t>
      </w:r>
    </w:p>
    <w:p>
      <w:pPr/>
      <w:r>
        <w:rPr>
          <w:i w:val="0"/>
        </w:rPr>
        <w:t>After Joseph has become established in the household, Potiphar’s wife fixes her attention on him and commands, “Lie with me.” The text gives no need to invent psychological causes for her behaviour. Mansfield’s suggestion that she may have been neglected because Potiphar was a eunuch depends on two unproved assumptions and has therefore been omitted.</w:t>
      </w:r>
    </w:p>
    <w:p>
      <w:pPr>
        <w:pStyle w:val="Heading2"/>
      </w:pPr>
      <w:r>
        <w:t>Genesis 39:8–9 — “sin against God”</w:t>
      </w:r>
    </w:p>
    <w:p>
      <w:pPr/>
      <w:r>
        <w:rPr>
          <w:i w:val="0"/>
        </w:rPr>
        <w:t>Joseph refuses. He first rehearses the extraordinary trust Potiphar has placed in him: nothing in the house has been withheld except Potiphar’s wife, precisely because she is his wife. The decisive reason follows: “How then can I do this great wickedness, and sin against God?” Joseph recognises the proposed adultery as betrayal of his master and a moral evil, but above all as sin against God. Psalm 51:4 later expresses the same God-centred consciousness of sin.</w:t>
      </w:r>
    </w:p>
    <w:p>
      <w:pPr>
        <w:pStyle w:val="Heading2"/>
      </w:pPr>
      <w:r>
        <w:t>Genesis 39:10 — practical separation</w:t>
      </w:r>
    </w:p>
    <w:p>
      <w:pPr/>
      <w:r>
        <w:rPr>
          <w:i w:val="0"/>
        </w:rPr>
        <w:t>The temptation is persistent: she speaks to Joseph “day by day.” He refuses not only to lie with her but also “to be with her.” This is practical moral wisdom. Resistance is not limited to the final moment of temptation; Joseph reduces avoidable exposure to the compromising situation. Proverbs 5–7 repeatedly gives the same wisdom concerning sexual temptation.</w:t>
      </w:r>
    </w:p>
    <w:p>
      <w:pPr>
        <w:pStyle w:val="Heading2"/>
      </w:pPr>
      <w:r>
        <w:t>Genesis 39:11–12 — “fled, and got him out”</w:t>
      </w:r>
    </w:p>
    <w:p>
      <w:pPr/>
      <w:r>
        <w:rPr>
          <w:i w:val="0"/>
        </w:rPr>
        <w:t>On a particular day Joseph enters the house for his normal work while no other household men are inside. Potiphar’s wife seizes his garment and repeats her demand. Joseph leaves the garment in her hand and flees outside. Second Timothy 2:22 — “Flee also youthful lusts” — is the most direct New Testament exhortational parallel.</w:t>
      </w:r>
    </w:p>
    <w:p>
      <w:pPr/>
      <w:r>
        <w:rPr>
          <w:i w:val="0"/>
        </w:rPr>
        <w:t>Mansfield calls leaving the garment “injudicious,” but the narrative does not criticise Joseph for prioritising immediate escape. The garment becomes false evidence only because Potiphar’s wife deliberately reverses the truth. Joseph’s flight is presented as integrity, not as a tactical error.</w:t>
      </w:r>
    </w:p>
    <w:p>
      <w:pPr>
        <w:pStyle w:val="Heading1"/>
      </w:pPr>
      <w:r>
        <w:t>FALSE ACCUSATION — GENESIS 39:13–18</w:t>
      </w:r>
    </w:p>
    <w:p>
      <w:pPr>
        <w:pStyle w:val="Heading2"/>
      </w:pPr>
      <w:r>
        <w:t>Genesis 39:13–15 — innocence turned into evidence against him</w:t>
      </w:r>
    </w:p>
    <w:p>
      <w:pPr/>
      <w:r>
        <w:rPr>
          <w:i w:val="0"/>
        </w:rPr>
        <w:t>Once Potiphar’s wife sees that the garment remains in her hand, frustrated desire turns into accusation. She calls the household men and labels Joseph “an Hebrew,” claiming he came to violate her and fled when she cried out. The retained garment is used to give physical plausibility to the false story.</w:t>
      </w:r>
    </w:p>
    <w:p>
      <w:pPr/>
      <w:r>
        <w:rPr>
          <w:i w:val="0"/>
        </w:rPr>
        <w:t>The shift from attempted seduction to persecution is central to Mansfield’s typological note. The broad pattern is biblically recognisable: refusal to join sin can provoke hostility against the one who refuses. The more specific identification of Potiphar’s wife with particular later religious systems remains typological exposition rather than an explicit Genesis interpretation.</w:t>
      </w:r>
    </w:p>
    <w:p>
      <w:pPr>
        <w:pStyle w:val="Heading2"/>
      </w:pPr>
      <w:r>
        <w:t>Genesis 39:16–18 — the same story told to Potiphar</w:t>
      </w:r>
    </w:p>
    <w:p>
      <w:pPr/>
      <w:r>
        <w:rPr>
          <w:i w:val="0"/>
        </w:rPr>
        <w:t>She keeps the garment until Potiphar returns and repeats the accusation. Her wording subtly shifts responsibility toward her husband — “the Hebrew servant, which thou hast brought unto us” — while presenting herself as the injured party. Joseph is given no recorded opportunity to defend himself in the narrative.</w:t>
      </w:r>
    </w:p>
    <w:p>
      <w:pPr>
        <w:pStyle w:val="Heading1"/>
      </w:pPr>
      <w:r>
        <w:t>JOSEPH IMPRISONED — GENESIS 39:19–20</w:t>
      </w:r>
    </w:p>
    <w:p>
      <w:pPr>
        <w:pStyle w:val="Heading2"/>
      </w:pPr>
      <w:r>
        <w:t>Genesis 39:19 — Potiphar’s anger</w:t>
      </w:r>
    </w:p>
    <w:p>
      <w:pPr/>
      <w:r>
        <w:rPr>
          <w:i w:val="0"/>
        </w:rPr>
        <w:t>Potiphar hears the accusation and his anger is kindled. Mansfield asks whether the comparatively limited punishment means that Potiphar doubted his wife, since an attempted sexual assault on a high official’s wife might have attracted a harsher penalty. That is possible but not stated. The text does not identify the object of Potiphar’s anger or explain why he chooses imprisonment.</w:t>
      </w:r>
    </w:p>
    <w:p>
      <w:pPr>
        <w:pStyle w:val="Heading2"/>
      </w:pPr>
      <w:r>
        <w:t>Genesis 39:20 — the king’s prison</w:t>
      </w:r>
    </w:p>
    <w:p>
      <w:pPr/>
      <w:r>
        <w:rPr>
          <w:i w:val="0"/>
        </w:rPr>
        <w:t>Joseph is placed in the prison where the king’s prisoners are confined. Psalm 105:17–18 adds that Joseph’s feet were hurt with fetters and he was laid in iron, showing that his imprisonment initially involved real suffering. The Hebrew beth-sohar simply designates the prison/house of confinement; older claims that the name proves a specific “Round House” or identifies the prison with a tower at Heliopolis are too uncertain to retain.</w:t>
      </w:r>
    </w:p>
    <w:p>
      <w:pPr/>
      <w:r>
        <w:rPr>
          <w:i w:val="0"/>
        </w:rPr>
        <w:t>The Joseph/Christ parallel deepens in innocent suffering under false accusation. Isaiah 53:9 and 1 Peter 2:22–23 provide the broader righteous-sufferer pattern, while Acts 7:9–10 explicitly frames Joseph’s own humiliation as the setting from which God would deliver and exalt him.</w:t>
      </w:r>
    </w:p>
    <w:p>
      <w:pPr>
        <w:pStyle w:val="Heading1"/>
      </w:pPr>
      <w:r>
        <w:t>YAHWEH WITH JOSEPH IN PRISON — GENESIS 39:21–23</w:t>
      </w:r>
    </w:p>
    <w:p>
      <w:pPr>
        <w:pStyle w:val="Heading2"/>
      </w:pPr>
      <w:r>
        <w:t>Genesis 39:21 — lovingkindness and favour</w:t>
      </w:r>
    </w:p>
    <w:p>
      <w:pPr/>
      <w:r>
        <w:rPr>
          <w:i w:val="0"/>
        </w:rPr>
        <w:t>The chapter deliberately repeats, “But Yahweh was with Joseph.” Yahweh shows him chesed — steadfast lovingkindness/covenant kindness — and gives him favour with the keeper of the prison. “Mercy” in the KJV is not wrong in effect, but chesed is broader than forgiveness; Joseph is not being forgiven for wrongdoing but sustained by God’s faithful kindness.</w:t>
      </w:r>
    </w:p>
    <w:p>
      <w:pPr>
        <w:pStyle w:val="Heading2"/>
      </w:pPr>
      <w:r>
        <w:t>Genesis 39:22 — responsibility returns even in prison</w:t>
      </w:r>
    </w:p>
    <w:p>
      <w:pPr/>
      <w:r>
        <w:rPr>
          <w:i w:val="0"/>
        </w:rPr>
        <w:t>The keeper commits the prisoners into Joseph’s hand, and Joseph becomes responsible for what is done there. The recurring pattern is striking: slavery and imprisonment change Joseph’s location and status, but not his character. Others repeatedly discover that he can be trusted.</w:t>
      </w:r>
    </w:p>
    <w:p>
      <w:pPr>
        <w:pStyle w:val="Heading2"/>
      </w:pPr>
      <w:r>
        <w:t>Genesis 39:23 — prospered under confinement</w:t>
      </w:r>
    </w:p>
    <w:p>
      <w:pPr/>
      <w:r>
        <w:rPr>
          <w:i w:val="0"/>
        </w:rPr>
        <w:t>The keeper no longer needs to inspect everything under Joseph’s authority because Yahweh is with him and makes his work prosper. The chapter ends almost exactly where its main argument began. Joseph has moved from trusted slave to falsely accused prisoner, yet the one fact that has not changed is the presence of God.</w:t>
      </w:r>
    </w:p>
    <w:p>
      <w:pPr>
        <w:pStyle w:val="Heading1"/>
      </w:pPr>
      <w:r>
        <w:t>JOSEPH AND CHRIST — CHECKED TYPOLOGICAL PARALLELS</w:t>
      </w:r>
    </w:p>
    <w:p>
      <w:pPr/>
      <w:r>
        <w:rPr>
          <w:i w:val="0"/>
        </w:rPr>
        <w:t>Mansfield’s Christological reading is strongest in the broad structure: both Joseph and Christ are faithful servants; both are subjected to temptation without yielding (Hebrews 4:15); both suffer hostility despite innocence; both are falsely accused; both pass through humiliation before later exaltation; and in both cases God’s purpose advances through apparent defeat. These parallels are preserved without forcing every Egyptian household detail into a one-to-one prophecy.</w:t>
      </w:r>
    </w:p>
    <w:p>
      <w:pPr>
        <w:pStyle w:val="Heading1"/>
      </w:pPr>
      <w:r>
        <w:t>PRINCIPAL THEMES</w:t>
      </w:r>
    </w:p>
    <w:p>
      <w:pPr>
        <w:ind w:left="259" w:hanging="202"/>
      </w:pPr>
      <w:r>
        <w:rPr>
          <w:b/>
        </w:rPr>
        <w:t xml:space="preserve">• </w:t>
      </w:r>
      <w:r>
        <w:t>God’s presence does not remove suffering; it sustains faithfulness within suffering.</w:t>
      </w:r>
    </w:p>
    <w:p>
      <w:pPr>
        <w:ind w:left="259" w:hanging="202"/>
      </w:pPr>
      <w:r>
        <w:rPr>
          <w:b/>
        </w:rPr>
        <w:t xml:space="preserve">• </w:t>
      </w:r>
      <w:r>
        <w:t>Joseph’s prosperity is the success God gives his work, not freedom from slavery or prison.</w:t>
      </w:r>
    </w:p>
    <w:p>
      <w:pPr>
        <w:ind w:left="259" w:hanging="202"/>
      </w:pPr>
      <w:r>
        <w:rPr>
          <w:b/>
        </w:rPr>
        <w:t xml:space="preserve">• </w:t>
      </w:r>
      <w:r>
        <w:t>Faithful stewardship produces trust even in adverse circumstances.</w:t>
      </w:r>
    </w:p>
    <w:p>
      <w:pPr>
        <w:ind w:left="259" w:hanging="202"/>
      </w:pPr>
      <w:r>
        <w:rPr>
          <w:b/>
        </w:rPr>
        <w:t xml:space="preserve">• </w:t>
      </w:r>
      <w:r>
        <w:t>Joseph refuses adultery because it is ultimately sin against God.</w:t>
      </w:r>
    </w:p>
    <w:p>
      <w:pPr>
        <w:ind w:left="259" w:hanging="202"/>
      </w:pPr>
      <w:r>
        <w:rPr>
          <w:b/>
        </w:rPr>
        <w:t xml:space="preserve">• </w:t>
      </w:r>
      <w:r>
        <w:t>Persistent temptation is answered by practical separation and, when necessary, flight.</w:t>
      </w:r>
    </w:p>
    <w:p>
      <w:pPr>
        <w:ind w:left="259" w:hanging="202"/>
      </w:pPr>
      <w:r>
        <w:rPr>
          <w:b/>
        </w:rPr>
        <w:t xml:space="preserve">• </w:t>
      </w:r>
      <w:r>
        <w:t>False accusation can turn evidence of innocence into apparent evidence of guilt.</w:t>
      </w:r>
    </w:p>
    <w:p>
      <w:pPr>
        <w:ind w:left="259" w:hanging="202"/>
      </w:pPr>
      <w:r>
        <w:rPr>
          <w:b/>
        </w:rPr>
        <w:t xml:space="preserve">• </w:t>
      </w:r>
      <w:r>
        <w:t>Joseph’s circumstances deteriorate while his character remains constant.</w:t>
      </w:r>
    </w:p>
    <w:p>
      <w:pPr>
        <w:ind w:left="259" w:hanging="202"/>
      </w:pPr>
      <w:r>
        <w:rPr>
          <w:b/>
        </w:rPr>
        <w:t xml:space="preserve">• </w:t>
      </w:r>
      <w:r>
        <w:t>The Joseph/Christ pattern develops through temptation, innocence, false accusation and unjust suffering.</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39:1</w:t>
            </w:r>
          </w:p>
        </w:tc>
        <w:tc>
          <w:tcPr>
            <w:tcW w:type="dxa" w:w="3552"/>
            <w:vAlign w:val="top"/>
          </w:tcPr>
          <w:p>
            <w:pPr>
              <w:spacing w:after="0"/>
            </w:pPr>
            <w:r>
              <w:rPr>
                <w:rFonts w:ascii="Times New Roman" w:hAnsi="Times New Roman"/>
                <w:sz w:val="15"/>
              </w:rPr>
              <w:t>saris</w:t>
            </w:r>
          </w:p>
        </w:tc>
        <w:tc>
          <w:tcPr>
            <w:tcW w:type="dxa" w:w="3552"/>
            <w:vAlign w:val="top"/>
          </w:tcPr>
          <w:p>
            <w:pPr>
              <w:spacing w:after="0"/>
            </w:pPr>
            <w:r>
              <w:rPr>
                <w:rFonts w:ascii="Times New Roman" w:hAnsi="Times New Roman"/>
                <w:sz w:val="15"/>
              </w:rPr>
              <w:t>Court officer/eunuch title; cannot prove Potiphar was physically a eunuch.</w:t>
            </w:r>
          </w:p>
        </w:tc>
      </w:tr>
      <w:tr>
        <w:tc>
          <w:tcPr>
            <w:tcW w:type="dxa" w:w="3552"/>
            <w:vAlign w:val="top"/>
          </w:tcPr>
          <w:p>
            <w:pPr>
              <w:spacing w:after="0"/>
            </w:pPr>
            <w:r>
              <w:rPr>
                <w:rFonts w:ascii="Times New Roman" w:hAnsi="Times New Roman"/>
                <w:sz w:val="15"/>
              </w:rPr>
              <w:t>Gen. 39:1</w:t>
            </w:r>
          </w:p>
        </w:tc>
        <w:tc>
          <w:tcPr>
            <w:tcW w:type="dxa" w:w="3552"/>
            <w:vAlign w:val="top"/>
          </w:tcPr>
          <w:p>
            <w:pPr>
              <w:spacing w:after="0"/>
            </w:pPr>
            <w:r>
              <w:rPr>
                <w:rFonts w:ascii="Times New Roman" w:hAnsi="Times New Roman"/>
                <w:sz w:val="15"/>
              </w:rPr>
              <w:t>Egyptian setting</w:t>
            </w:r>
          </w:p>
        </w:tc>
        <w:tc>
          <w:tcPr>
            <w:tcW w:type="dxa" w:w="3552"/>
            <w:vAlign w:val="top"/>
          </w:tcPr>
          <w:p>
            <w:pPr>
              <w:spacing w:after="0"/>
            </w:pPr>
            <w:r>
              <w:rPr>
                <w:rFonts w:ascii="Times New Roman" w:hAnsi="Times New Roman"/>
                <w:sz w:val="15"/>
              </w:rPr>
              <w:t>Older Hyksos and inscription claims retained only as general background, not precise proof.</w:t>
            </w:r>
          </w:p>
        </w:tc>
      </w:tr>
      <w:tr>
        <w:tc>
          <w:tcPr>
            <w:tcW w:type="dxa" w:w="3552"/>
            <w:vAlign w:val="top"/>
          </w:tcPr>
          <w:p>
            <w:pPr>
              <w:spacing w:after="0"/>
            </w:pPr>
            <w:r>
              <w:rPr>
                <w:rFonts w:ascii="Times New Roman" w:hAnsi="Times New Roman"/>
                <w:sz w:val="15"/>
              </w:rPr>
              <w:t>Gen. 39:2</w:t>
            </w:r>
          </w:p>
        </w:tc>
        <w:tc>
          <w:tcPr>
            <w:tcW w:type="dxa" w:w="3552"/>
            <w:vAlign w:val="top"/>
          </w:tcPr>
          <w:p>
            <w:pPr>
              <w:spacing w:after="0"/>
            </w:pPr>
            <w:r>
              <w:rPr>
                <w:rFonts w:ascii="Times New Roman" w:hAnsi="Times New Roman"/>
                <w:sz w:val="15"/>
              </w:rPr>
              <w:t>Acts 7:9–10</w:t>
            </w:r>
          </w:p>
        </w:tc>
        <w:tc>
          <w:tcPr>
            <w:tcW w:type="dxa" w:w="3552"/>
            <w:vAlign w:val="top"/>
          </w:tcPr>
          <w:p>
            <w:pPr>
              <w:spacing w:after="0"/>
            </w:pPr>
            <w:r>
              <w:rPr>
                <w:rFonts w:ascii="Times New Roman" w:hAnsi="Times New Roman"/>
                <w:sz w:val="15"/>
              </w:rPr>
              <w:t>Stephen explicitly confirms: Joseph was sold through envy, but God was with him.</w:t>
            </w:r>
          </w:p>
        </w:tc>
      </w:tr>
      <w:tr>
        <w:tc>
          <w:tcPr>
            <w:tcW w:type="dxa" w:w="3552"/>
            <w:vAlign w:val="top"/>
          </w:tcPr>
          <w:p>
            <w:pPr>
              <w:spacing w:after="0"/>
            </w:pPr>
            <w:r>
              <w:rPr>
                <w:rFonts w:ascii="Times New Roman" w:hAnsi="Times New Roman"/>
                <w:sz w:val="15"/>
              </w:rPr>
              <w:t>Gen. 39:4–5</w:t>
            </w:r>
          </w:p>
        </w:tc>
        <w:tc>
          <w:tcPr>
            <w:tcW w:type="dxa" w:w="3552"/>
            <w:vAlign w:val="top"/>
          </w:tcPr>
          <w:p>
            <w:pPr>
              <w:spacing w:after="0"/>
            </w:pPr>
            <w:r>
              <w:rPr>
                <w:rFonts w:ascii="Times New Roman" w:hAnsi="Times New Roman"/>
                <w:sz w:val="15"/>
              </w:rPr>
              <w:t>overseer / blessing</w:t>
            </w:r>
          </w:p>
        </w:tc>
        <w:tc>
          <w:tcPr>
            <w:tcW w:type="dxa" w:w="3552"/>
            <w:vAlign w:val="top"/>
          </w:tcPr>
          <w:p>
            <w:pPr>
              <w:spacing w:after="0"/>
            </w:pPr>
            <w:r>
              <w:rPr>
                <w:rFonts w:ascii="Times New Roman" w:hAnsi="Times New Roman"/>
                <w:sz w:val="15"/>
              </w:rPr>
              <w:t>Faithful household stewardship; blessing extends to house and field.</w:t>
            </w:r>
          </w:p>
        </w:tc>
      </w:tr>
      <w:tr>
        <w:tc>
          <w:tcPr>
            <w:tcW w:type="dxa" w:w="3552"/>
            <w:vAlign w:val="top"/>
          </w:tcPr>
          <w:p>
            <w:pPr>
              <w:spacing w:after="0"/>
            </w:pPr>
            <w:r>
              <w:rPr>
                <w:rFonts w:ascii="Times New Roman" w:hAnsi="Times New Roman"/>
                <w:sz w:val="15"/>
              </w:rPr>
              <w:t>Gen. 39:6</w:t>
            </w:r>
          </w:p>
        </w:tc>
        <w:tc>
          <w:tcPr>
            <w:tcW w:type="dxa" w:w="3552"/>
            <w:vAlign w:val="top"/>
          </w:tcPr>
          <w:p>
            <w:pPr>
              <w:spacing w:after="0"/>
            </w:pPr>
            <w:r>
              <w:rPr>
                <w:rFonts w:ascii="Times New Roman" w:hAnsi="Times New Roman"/>
                <w:sz w:val="15"/>
              </w:rPr>
              <w:t>yefeh to’ar wiyfeh mar’eh</w:t>
            </w:r>
          </w:p>
        </w:tc>
        <w:tc>
          <w:tcPr>
            <w:tcW w:type="dxa" w:w="3552"/>
            <w:vAlign w:val="top"/>
          </w:tcPr>
          <w:p>
            <w:pPr>
              <w:spacing w:after="0"/>
            </w:pPr>
            <w:r>
              <w:rPr>
                <w:rFonts w:ascii="Times New Roman" w:hAnsi="Times New Roman"/>
                <w:sz w:val="15"/>
              </w:rPr>
              <w:t>Handsome/beautiful in form and appearance; compare Rachel, Gen. 29:17.</w:t>
            </w:r>
          </w:p>
        </w:tc>
      </w:tr>
      <w:tr>
        <w:tc>
          <w:tcPr>
            <w:tcW w:type="dxa" w:w="3552"/>
            <w:vAlign w:val="top"/>
          </w:tcPr>
          <w:p>
            <w:pPr>
              <w:spacing w:after="0"/>
            </w:pPr>
            <w:r>
              <w:rPr>
                <w:rFonts w:ascii="Times New Roman" w:hAnsi="Times New Roman"/>
                <w:sz w:val="15"/>
              </w:rPr>
              <w:t>Gen. 39:6</w:t>
            </w:r>
          </w:p>
        </w:tc>
        <w:tc>
          <w:tcPr>
            <w:tcW w:type="dxa" w:w="3552"/>
            <w:vAlign w:val="top"/>
          </w:tcPr>
          <w:p>
            <w:pPr>
              <w:spacing w:after="0"/>
            </w:pPr>
            <w:r>
              <w:rPr>
                <w:rFonts w:ascii="Times New Roman" w:hAnsi="Times New Roman"/>
                <w:sz w:val="15"/>
              </w:rPr>
              <w:t>Gen. 43:32</w:t>
            </w:r>
          </w:p>
        </w:tc>
        <w:tc>
          <w:tcPr>
            <w:tcW w:type="dxa" w:w="3552"/>
            <w:vAlign w:val="top"/>
          </w:tcPr>
          <w:p>
            <w:pPr>
              <w:spacing w:after="0"/>
            </w:pPr>
            <w:r>
              <w:rPr>
                <w:rFonts w:ascii="Times New Roman" w:hAnsi="Times New Roman"/>
                <w:sz w:val="15"/>
              </w:rPr>
              <w:t>May illuminate food separation, but is not stated as the reason in Gen. 39.</w:t>
            </w:r>
          </w:p>
        </w:tc>
      </w:tr>
      <w:tr>
        <w:tc>
          <w:tcPr>
            <w:tcW w:type="dxa" w:w="3552"/>
            <w:vAlign w:val="top"/>
          </w:tcPr>
          <w:p>
            <w:pPr>
              <w:spacing w:after="0"/>
            </w:pPr>
            <w:r>
              <w:rPr>
                <w:rFonts w:ascii="Times New Roman" w:hAnsi="Times New Roman"/>
                <w:sz w:val="15"/>
              </w:rPr>
              <w:t>Gen. 39:8–9</w:t>
            </w:r>
          </w:p>
        </w:tc>
        <w:tc>
          <w:tcPr>
            <w:tcW w:type="dxa" w:w="3552"/>
            <w:vAlign w:val="top"/>
          </w:tcPr>
          <w:p>
            <w:pPr>
              <w:spacing w:after="0"/>
            </w:pPr>
            <w:r>
              <w:rPr>
                <w:rFonts w:ascii="Times New Roman" w:hAnsi="Times New Roman"/>
                <w:sz w:val="15"/>
              </w:rPr>
              <w:t>Psa. 51:4</w:t>
            </w:r>
          </w:p>
        </w:tc>
        <w:tc>
          <w:tcPr>
            <w:tcW w:type="dxa" w:w="3552"/>
            <w:vAlign w:val="top"/>
          </w:tcPr>
          <w:p>
            <w:pPr>
              <w:spacing w:after="0"/>
            </w:pPr>
            <w:r>
              <w:rPr>
                <w:rFonts w:ascii="Times New Roman" w:hAnsi="Times New Roman"/>
                <w:sz w:val="15"/>
              </w:rPr>
              <w:t>Supports Joseph’s God-centred understanding of sin.</w:t>
            </w:r>
          </w:p>
        </w:tc>
      </w:tr>
      <w:tr>
        <w:tc>
          <w:tcPr>
            <w:tcW w:type="dxa" w:w="3552"/>
            <w:vAlign w:val="top"/>
          </w:tcPr>
          <w:p>
            <w:pPr>
              <w:spacing w:after="0"/>
            </w:pPr>
            <w:r>
              <w:rPr>
                <w:rFonts w:ascii="Times New Roman" w:hAnsi="Times New Roman"/>
                <w:sz w:val="15"/>
              </w:rPr>
              <w:t>Gen. 39:10</w:t>
            </w:r>
          </w:p>
        </w:tc>
        <w:tc>
          <w:tcPr>
            <w:tcW w:type="dxa" w:w="3552"/>
            <w:vAlign w:val="top"/>
          </w:tcPr>
          <w:p>
            <w:pPr>
              <w:spacing w:after="0"/>
            </w:pPr>
            <w:r>
              <w:rPr>
                <w:rFonts w:ascii="Times New Roman" w:hAnsi="Times New Roman"/>
                <w:sz w:val="15"/>
              </w:rPr>
              <w:t>Prov. 5–7</w:t>
            </w:r>
          </w:p>
        </w:tc>
        <w:tc>
          <w:tcPr>
            <w:tcW w:type="dxa" w:w="3552"/>
            <w:vAlign w:val="top"/>
          </w:tcPr>
          <w:p>
            <w:pPr>
              <w:spacing w:after="0"/>
            </w:pPr>
            <w:r>
              <w:rPr>
                <w:rFonts w:ascii="Times New Roman" w:hAnsi="Times New Roman"/>
                <w:sz w:val="15"/>
              </w:rPr>
              <w:t>Practical avoidance of sexual temptation, not merely last-second resistance.</w:t>
            </w:r>
          </w:p>
        </w:tc>
      </w:tr>
      <w:tr>
        <w:tc>
          <w:tcPr>
            <w:tcW w:type="dxa" w:w="3552"/>
            <w:vAlign w:val="top"/>
          </w:tcPr>
          <w:p>
            <w:pPr>
              <w:spacing w:after="0"/>
            </w:pPr>
            <w:r>
              <w:rPr>
                <w:rFonts w:ascii="Times New Roman" w:hAnsi="Times New Roman"/>
                <w:sz w:val="15"/>
              </w:rPr>
              <w:t>Gen. 39:12</w:t>
            </w:r>
          </w:p>
        </w:tc>
        <w:tc>
          <w:tcPr>
            <w:tcW w:type="dxa" w:w="3552"/>
            <w:vAlign w:val="top"/>
          </w:tcPr>
          <w:p>
            <w:pPr>
              <w:spacing w:after="0"/>
            </w:pPr>
            <w:r>
              <w:rPr>
                <w:rFonts w:ascii="Times New Roman" w:hAnsi="Times New Roman"/>
                <w:sz w:val="15"/>
              </w:rPr>
              <w:t>2 Tim. 2:22</w:t>
            </w:r>
          </w:p>
        </w:tc>
        <w:tc>
          <w:tcPr>
            <w:tcW w:type="dxa" w:w="3552"/>
            <w:vAlign w:val="top"/>
          </w:tcPr>
          <w:p>
            <w:pPr>
              <w:spacing w:after="0"/>
            </w:pPr>
            <w:r>
              <w:rPr>
                <w:rFonts w:ascii="Times New Roman" w:hAnsi="Times New Roman"/>
                <w:sz w:val="15"/>
              </w:rPr>
              <w:t>Direct exhortational parallel: flee youthful lusts.</w:t>
            </w:r>
          </w:p>
        </w:tc>
      </w:tr>
      <w:tr>
        <w:tc>
          <w:tcPr>
            <w:tcW w:type="dxa" w:w="3552"/>
            <w:vAlign w:val="top"/>
          </w:tcPr>
          <w:p>
            <w:pPr>
              <w:spacing w:after="0"/>
            </w:pPr>
            <w:r>
              <w:rPr>
                <w:rFonts w:ascii="Times New Roman" w:hAnsi="Times New Roman"/>
                <w:sz w:val="15"/>
              </w:rPr>
              <w:t>Gen. 39:12–18</w:t>
            </w:r>
          </w:p>
        </w:tc>
        <w:tc>
          <w:tcPr>
            <w:tcW w:type="dxa" w:w="3552"/>
            <w:vAlign w:val="top"/>
          </w:tcPr>
          <w:p>
            <w:pPr>
              <w:spacing w:after="0"/>
            </w:pPr>
            <w:r>
              <w:rPr>
                <w:rFonts w:ascii="Times New Roman" w:hAnsi="Times New Roman"/>
                <w:sz w:val="15"/>
              </w:rPr>
              <w:t>garment evidence</w:t>
            </w:r>
          </w:p>
        </w:tc>
        <w:tc>
          <w:tcPr>
            <w:tcW w:type="dxa" w:w="3552"/>
            <w:vAlign w:val="top"/>
          </w:tcPr>
          <w:p>
            <w:pPr>
              <w:spacing w:after="0"/>
            </w:pPr>
            <w:r>
              <w:rPr>
                <w:rFonts w:ascii="Times New Roman" w:hAnsi="Times New Roman"/>
                <w:sz w:val="15"/>
              </w:rPr>
              <w:t>Joseph’s flight is not faulted by the narrator; false accusation weaponises the garment.</w:t>
            </w:r>
          </w:p>
        </w:tc>
      </w:tr>
      <w:tr>
        <w:tc>
          <w:tcPr>
            <w:tcW w:type="dxa" w:w="3552"/>
            <w:vAlign w:val="top"/>
          </w:tcPr>
          <w:p>
            <w:pPr>
              <w:spacing w:after="0"/>
            </w:pPr>
            <w:r>
              <w:rPr>
                <w:rFonts w:ascii="Times New Roman" w:hAnsi="Times New Roman"/>
                <w:sz w:val="15"/>
              </w:rPr>
              <w:t>Gen. 39:19</w:t>
            </w:r>
          </w:p>
        </w:tc>
        <w:tc>
          <w:tcPr>
            <w:tcW w:type="dxa" w:w="3552"/>
            <w:vAlign w:val="top"/>
          </w:tcPr>
          <w:p>
            <w:pPr>
              <w:spacing w:after="0"/>
            </w:pPr>
            <w:r>
              <w:rPr>
                <w:rFonts w:ascii="Times New Roman" w:hAnsi="Times New Roman"/>
                <w:sz w:val="15"/>
              </w:rPr>
              <w:t>Potiphar’s motive uncertain</w:t>
            </w:r>
          </w:p>
        </w:tc>
        <w:tc>
          <w:tcPr>
            <w:tcW w:type="dxa" w:w="3552"/>
            <w:vAlign w:val="top"/>
          </w:tcPr>
          <w:p>
            <w:pPr>
              <w:spacing w:after="0"/>
            </w:pPr>
            <w:r>
              <w:rPr>
                <w:rFonts w:ascii="Times New Roman" w:hAnsi="Times New Roman"/>
                <w:sz w:val="15"/>
              </w:rPr>
              <w:t>Text records anger and prison, but not whether he fully believed his wife.</w:t>
            </w:r>
          </w:p>
        </w:tc>
      </w:tr>
      <w:tr>
        <w:tc>
          <w:tcPr>
            <w:tcW w:type="dxa" w:w="3552"/>
            <w:vAlign w:val="top"/>
          </w:tcPr>
          <w:p>
            <w:pPr>
              <w:spacing w:after="0"/>
            </w:pPr>
            <w:r>
              <w:rPr>
                <w:rFonts w:ascii="Times New Roman" w:hAnsi="Times New Roman"/>
                <w:sz w:val="15"/>
              </w:rPr>
              <w:t>Gen. 39:20</w:t>
            </w:r>
          </w:p>
        </w:tc>
        <w:tc>
          <w:tcPr>
            <w:tcW w:type="dxa" w:w="3552"/>
            <w:vAlign w:val="top"/>
          </w:tcPr>
          <w:p>
            <w:pPr>
              <w:spacing w:after="0"/>
            </w:pPr>
            <w:r>
              <w:rPr>
                <w:rFonts w:ascii="Times New Roman" w:hAnsi="Times New Roman"/>
                <w:sz w:val="15"/>
              </w:rPr>
              <w:t>Psa. 105:17–18</w:t>
            </w:r>
          </w:p>
        </w:tc>
        <w:tc>
          <w:tcPr>
            <w:tcW w:type="dxa" w:w="3552"/>
            <w:vAlign w:val="top"/>
          </w:tcPr>
          <w:p>
            <w:pPr>
              <w:spacing w:after="0"/>
            </w:pPr>
            <w:r>
              <w:rPr>
                <w:rFonts w:ascii="Times New Roman" w:hAnsi="Times New Roman"/>
                <w:sz w:val="15"/>
              </w:rPr>
              <w:t>Adds fetters/iron to Joseph’s initial imprisonment.</w:t>
            </w:r>
          </w:p>
        </w:tc>
      </w:tr>
      <w:tr>
        <w:tc>
          <w:tcPr>
            <w:tcW w:type="dxa" w:w="3552"/>
            <w:vAlign w:val="top"/>
          </w:tcPr>
          <w:p>
            <w:pPr>
              <w:spacing w:after="0"/>
            </w:pPr>
            <w:r>
              <w:rPr>
                <w:rFonts w:ascii="Times New Roman" w:hAnsi="Times New Roman"/>
                <w:sz w:val="15"/>
              </w:rPr>
              <w:t>Gen. 39:20</w:t>
            </w:r>
          </w:p>
        </w:tc>
        <w:tc>
          <w:tcPr>
            <w:tcW w:type="dxa" w:w="3552"/>
            <w:vAlign w:val="top"/>
          </w:tcPr>
          <w:p>
            <w:pPr>
              <w:spacing w:after="0"/>
            </w:pPr>
            <w:r>
              <w:rPr>
                <w:rFonts w:ascii="Times New Roman" w:hAnsi="Times New Roman"/>
                <w:sz w:val="15"/>
              </w:rPr>
              <w:t>beth-sohar</w:t>
            </w:r>
          </w:p>
        </w:tc>
        <w:tc>
          <w:tcPr>
            <w:tcW w:type="dxa" w:w="3552"/>
            <w:vAlign w:val="top"/>
          </w:tcPr>
          <w:p>
            <w:pPr>
              <w:spacing w:after="0"/>
            </w:pPr>
            <w:r>
              <w:rPr>
                <w:rFonts w:ascii="Times New Roman" w:hAnsi="Times New Roman"/>
                <w:sz w:val="15"/>
              </w:rPr>
              <w:t>Prison/house of confinement; “Round House at Heliopolis” identification rejected as uncertain.</w:t>
            </w:r>
          </w:p>
        </w:tc>
      </w:tr>
      <w:tr>
        <w:tc>
          <w:tcPr>
            <w:tcW w:type="dxa" w:w="3552"/>
            <w:vAlign w:val="top"/>
          </w:tcPr>
          <w:p>
            <w:pPr>
              <w:spacing w:after="0"/>
            </w:pPr>
            <w:r>
              <w:rPr>
                <w:rFonts w:ascii="Times New Roman" w:hAnsi="Times New Roman"/>
                <w:sz w:val="15"/>
              </w:rPr>
              <w:t>Gen. 39:21</w:t>
            </w:r>
          </w:p>
        </w:tc>
        <w:tc>
          <w:tcPr>
            <w:tcW w:type="dxa" w:w="3552"/>
            <w:vAlign w:val="top"/>
          </w:tcPr>
          <w:p>
            <w:pPr>
              <w:spacing w:after="0"/>
            </w:pPr>
            <w:r>
              <w:rPr>
                <w:rFonts w:ascii="Times New Roman" w:hAnsi="Times New Roman"/>
                <w:sz w:val="15"/>
              </w:rPr>
              <w:t>chesed</w:t>
            </w:r>
          </w:p>
        </w:tc>
        <w:tc>
          <w:tcPr>
            <w:tcW w:type="dxa" w:w="3552"/>
            <w:vAlign w:val="top"/>
          </w:tcPr>
          <w:p>
            <w:pPr>
              <w:spacing w:after="0"/>
            </w:pPr>
            <w:r>
              <w:rPr>
                <w:rFonts w:ascii="Times New Roman" w:hAnsi="Times New Roman"/>
                <w:sz w:val="15"/>
              </w:rPr>
              <w:t>Lovingkindness/steadfast kindness; broader than forgiveness.</w:t>
            </w:r>
          </w:p>
        </w:tc>
      </w:tr>
      <w:tr>
        <w:tc>
          <w:tcPr>
            <w:tcW w:type="dxa" w:w="3552"/>
            <w:vAlign w:val="top"/>
          </w:tcPr>
          <w:p>
            <w:pPr>
              <w:spacing w:after="0"/>
            </w:pPr>
            <w:r>
              <w:rPr>
                <w:rFonts w:ascii="Times New Roman" w:hAnsi="Times New Roman"/>
                <w:sz w:val="15"/>
              </w:rPr>
              <w:t>Gen. 39:21–23</w:t>
            </w:r>
          </w:p>
        </w:tc>
        <w:tc>
          <w:tcPr>
            <w:tcW w:type="dxa" w:w="3552"/>
            <w:vAlign w:val="top"/>
          </w:tcPr>
          <w:p>
            <w:pPr>
              <w:spacing w:after="0"/>
            </w:pPr>
            <w:r>
              <w:rPr>
                <w:rFonts w:ascii="Times New Roman" w:hAnsi="Times New Roman"/>
                <w:sz w:val="15"/>
              </w:rPr>
              <w:t>repeated Yahweh presence</w:t>
            </w:r>
          </w:p>
        </w:tc>
        <w:tc>
          <w:tcPr>
            <w:tcW w:type="dxa" w:w="3552"/>
            <w:vAlign w:val="top"/>
          </w:tcPr>
          <w:p>
            <w:pPr>
              <w:spacing w:after="0"/>
            </w:pPr>
            <w:r>
              <w:rPr>
                <w:rFonts w:ascii="Times New Roman" w:hAnsi="Times New Roman"/>
                <w:sz w:val="15"/>
              </w:rPr>
              <w:t>Chapter closes with the same governing fact: Yahweh is with Joseph.</w:t>
            </w:r>
          </w:p>
        </w:tc>
      </w:tr>
    </w:tbl>
    <w:p>
      <w:pPr>
        <w:pStyle w:val="Heading1"/>
      </w:pPr>
      <w:r>
        <w:t>RESIDUAL UNCERTAINTIES</w:t>
      </w:r>
    </w:p>
    <w:p>
      <w:pPr/>
      <w:r>
        <w:rPr>
          <w:i w:val="0"/>
        </w:rPr>
        <w:t>The exact chronology of Joseph’s years divided between Potiphar’s household and prison is not stated. Potiphar’s title saris does not establish his physical condition, and the narrative gives no psychological explanation for his wife’s conduct. Potiphar’s precise assessment of the accusation remains unknown. Older claims identifying beth-sohar with a specific round prison or tower at Heliopolis, and detailed Hyksos-era identifications, have not been treated as established facts.</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2"/>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2"/>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