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40</w:t>
      </w:r>
    </w:p>
    <w:p>
      <w:pPr>
        <w:pStyle w:val="Subtitle"/>
      </w:pPr>
      <w:r>
        <w:t>JOSEPH SERVES IN PRISON • TWO DREAMS • INTERPRETATIONS BELONG TO GOD • RESTORATION AND JUDGMENT • JOSEPH FORGOTTEN</w:t>
      </w:r>
    </w:p>
    <w:p>
      <w:pPr/>
      <w:r>
        <w:rPr>
          <w:i/>
        </w:rPr>
        <w:t>H. P. Mansfield Bible notes — checked and arranged in verse-by-verse Expositor style</w:t>
      </w:r>
    </w:p>
    <w:p>
      <w:pPr/>
      <w:r>
        <w:rPr>
          <w:i w:val="0"/>
        </w:rPr>
        <w:t>Source: HPB 01-Gen01-Gen41.PDF, principally Genesis 40 photographed pages 97–98</w:t>
      </w:r>
    </w:p>
    <w:p>
      <w:pPr>
        <w:pStyle w:val="Heading1"/>
      </w:pPr>
      <w:r>
        <w:t>CHAPTER OVERVIEW</w:t>
      </w:r>
    </w:p>
    <w:p>
      <w:pPr/>
      <w:r>
        <w:rPr>
          <w:i w:val="0"/>
        </w:rPr>
        <w:t>Genesis 40 continues Joseph’s preparation in prison. He has no control over the timing of his release, yet he continues to serve, notices the distress of others and openly attributes interpretation to God. The arrival of Pharaoh’s cupbearer and baker looks like an ordinary court incident, but becomes the providential bridge by which Joseph will eventually be summoned before Pharaoh.</w:t>
      </w:r>
    </w:p>
    <w:p>
      <w:pPr/>
      <w:r>
        <w:rPr>
          <w:i w:val="0"/>
        </w:rPr>
        <w:t>Mansfield strongly contrasts the paired dreams: both occur on one night, both contain threefold imagery, and both are fulfilled on the third day; yet one ends in restoration and the other in death. This typological life/judgment pattern is retained, while uncertain Egyptian reconstructions and over-detailed symbolism are kept secondary.</w:t>
      </w:r>
    </w:p>
    <w:p>
      <w:pPr>
        <w:pStyle w:val="Heading1"/>
      </w:pPr>
      <w:r>
        <w:t>TWO ROYAL OFFICERS IN PRISON — GENESIS 40:1–4</w:t>
      </w:r>
    </w:p>
    <w:p>
      <w:pPr>
        <w:pStyle w:val="Heading2"/>
      </w:pPr>
      <w:r>
        <w:t>Genesis 40:1–3 — cupbearer and baker offend Pharaoh</w:t>
      </w:r>
    </w:p>
    <w:p>
      <w:pPr/>
      <w:r>
        <w:rPr>
          <w:i w:val="0"/>
        </w:rPr>
        <w:t>Pharaoh’s cupbearer and baker offend their lord and are placed in custody in the house of the captain of the guard, in the same prison where Joseph is confined. The Hebrew mashqeh, traditionally “butler,” is more precisely a cupbearer — one who serves drink to the king and therefore occupies a position of trust. Nehemiah 1:11 uses the same court role in a later setting.</w:t>
      </w:r>
    </w:p>
    <w:p>
      <w:pPr/>
      <w:r>
        <w:rPr>
          <w:i w:val="0"/>
        </w:rPr>
        <w:t>The verb translated “offended” is chata’, the ordinary verb for sin/missing the mark. Genesis does not tell us what either officer did. Older suggestions that they attempted poisoning, or that Pharaoh merely suffered indigestion, are speculation and have not been retained.</w:t>
      </w:r>
    </w:p>
    <w:p>
      <w:pPr>
        <w:pStyle w:val="Heading2"/>
      </w:pPr>
      <w:r>
        <w:t>Genesis 40:4 — Joseph continues to serve</w:t>
      </w:r>
    </w:p>
    <w:p>
      <w:pPr/>
      <w:r>
        <w:rPr>
          <w:i w:val="0"/>
        </w:rPr>
        <w:t>The captain of the guard places the two high officials in Joseph’s charge, “and he served them.” Joseph’s own unjust imprisonment has not made him indifferent to responsibility. The officers remain in custody for a season while their cases await decision.</w:t>
      </w:r>
    </w:p>
    <w:p>
      <w:pPr>
        <w:pStyle w:val="Heading1"/>
      </w:pPr>
      <w:r>
        <w:t>THE DREAMS AND JOSEPH’S CONFESSION — GENESIS 40:5–8</w:t>
      </w:r>
    </w:p>
    <w:p>
      <w:pPr>
        <w:pStyle w:val="Heading2"/>
      </w:pPr>
      <w:r>
        <w:t>Genesis 40:5 — two dreams in one night</w:t>
      </w:r>
    </w:p>
    <w:p>
      <w:pPr/>
      <w:r>
        <w:rPr>
          <w:i w:val="0"/>
        </w:rPr>
        <w:t>Both prisoners dream on the same night, “each man according to the interpretation of his dream.” The paired structure alerts Joseph that the dreams are significant. They are not interchangeable: each has its own interpretation and outcome.</w:t>
      </w:r>
    </w:p>
    <w:p>
      <w:pPr>
        <w:pStyle w:val="Heading2"/>
      </w:pPr>
      <w:r>
        <w:t>Genesis 40:6–7 — Joseph notices their faces</w:t>
      </w:r>
    </w:p>
    <w:p>
      <w:pPr/>
      <w:r>
        <w:rPr>
          <w:i w:val="0"/>
        </w:rPr>
        <w:t>Joseph sees that the men are troubled and asks why their faces are sad. The word behind the downcast appearance carries the sense of being troubled or distressed. Mansfield rightly draws attention to Joseph’s concern: while suffering his own injustice, he remains observant of another person’s grief.</w:t>
      </w:r>
    </w:p>
    <w:p>
      <w:pPr>
        <w:pStyle w:val="Heading2"/>
      </w:pPr>
      <w:r>
        <w:t>Genesis 40:8 — “Do not interpretations belong to God?”</w:t>
      </w:r>
    </w:p>
    <w:p>
      <w:pPr/>
      <w:r>
        <w:rPr>
          <w:i w:val="0"/>
        </w:rPr>
        <w:t>The prisoners explain that no interpreter is available. Joseph answers, “Do not interpretations belong to God? tell me them, I pray you.” He claims no independent occult skill. The God who gave Joseph his own dreams is the source of any true interpretation. Psalm 105:19 later says that until Joseph’s appointed time came, “the word of Yahweh tried him.” Long delay has not extinguished his faith.</w:t>
      </w:r>
    </w:p>
    <w:p>
      <w:pPr>
        <w:pStyle w:val="Heading1"/>
      </w:pPr>
      <w:r>
        <w:t>THE CUPBEARER’S DREAM — GENESIS 40:9–15</w:t>
      </w:r>
    </w:p>
    <w:p>
      <w:pPr>
        <w:pStyle w:val="Heading2"/>
      </w:pPr>
      <w:r>
        <w:t>Genesis 40:9–11 — vine, grapes and Pharaoh’s cup</w:t>
      </w:r>
    </w:p>
    <w:p>
      <w:pPr/>
      <w:r>
        <w:rPr>
          <w:i w:val="0"/>
        </w:rPr>
        <w:t>The chief cupbearer sees a vine with three branches. It buds, blossoms and produces ripe grapes; Pharaoh’s cup is in his hand, and he presses the grapes into it and serves Pharaoh. The imagery naturally reflects the officer’s own occupation. Mansfield adds resurrection and wine symbolism; those applications are typological rather than necessary to the literal interpretation.</w:t>
      </w:r>
    </w:p>
    <w:p>
      <w:pPr>
        <w:pStyle w:val="Heading2"/>
      </w:pPr>
      <w:r>
        <w:t>Genesis 40:12–13 — three branches, three days, restoration</w:t>
      </w:r>
    </w:p>
    <w:p>
      <w:pPr/>
      <w:r>
        <w:rPr>
          <w:i w:val="0"/>
        </w:rPr>
        <w:t>Joseph states plainly that the three branches are three days. Within three days Pharaoh will “lift up” the cupbearer’s head and restore him to office so that he again places Pharaoh’s cup in his hand. “Lift up the head” can mean to take account of or raise someone’s status; the same phrase will be used with a grim qualification for the baker.</w:t>
      </w:r>
    </w:p>
    <w:p>
      <w:pPr>
        <w:pStyle w:val="Heading2"/>
      </w:pPr>
      <w:r>
        <w:t>Genesis 40:14–15 — Joseph asks to be remembered</w:t>
      </w:r>
    </w:p>
    <w:p>
      <w:pPr/>
      <w:r>
        <w:rPr>
          <w:i w:val="0"/>
        </w:rPr>
        <w:t>Joseph asks the cupbearer to remember him when restored, show him kindness, mention him to Pharaoh and bring him out of the prison. This is not evidence that Joseph has abandoned trust in God. A legitimate appeal through an available human channel is fully compatible with faith; providence commonly works through human action.</w:t>
      </w:r>
    </w:p>
    <w:p>
      <w:pPr/>
      <w:r>
        <w:rPr>
          <w:i w:val="0"/>
        </w:rPr>
        <w:t>Joseph says he was “stolen away out of the land of the Hebrews.” The patriarchs did not yet possess Canaan politically, but Abraham is already called “Abram the Hebrew” in Genesis 14:13. Joseph can therefore identify the country associated with his Hebrew family without claiming that a Hebrew state already existed.</w:t>
      </w:r>
    </w:p>
    <w:p>
      <w:pPr/>
      <w:r>
        <w:rPr>
          <w:i w:val="0"/>
        </w:rPr>
        <w:t>He adds that he has done nothing deserving “the dungeon.” The Hebrew bor is pit/cistern/dungeon — the same noun used for the pit into which Joseph was cast in Genesis 37:20–24. His life has thus moved from one undeserved “pit” to another.</w:t>
      </w:r>
    </w:p>
    <w:p>
      <w:pPr>
        <w:pStyle w:val="Heading1"/>
      </w:pPr>
      <w:r>
        <w:t>THE BAKER’S DREAM — GENESIS 40:16–19</w:t>
      </w:r>
    </w:p>
    <w:p>
      <w:pPr>
        <w:pStyle w:val="Heading2"/>
      </w:pPr>
      <w:r>
        <w:t>Genesis 40:16–17 — three baskets and Pharaoh’s food</w:t>
      </w:r>
    </w:p>
    <w:p>
      <w:pPr/>
      <w:r>
        <w:rPr>
          <w:i w:val="0"/>
        </w:rPr>
        <w:t>Encouraged by the favourable first interpretation, the chief baker describes three baskets on his head, with baked food for Pharaoh in the upper basket and birds eating from it. The difficult expression rendered “white baskets” in the KJV is uncertain; translations and lexicons have proposed baskets of white bread or open-work/wicker baskets. The exact construction should therefore not carry theological weight.</w:t>
      </w:r>
    </w:p>
    <w:p>
      <w:pPr/>
      <w:r>
        <w:rPr>
          <w:i w:val="0"/>
        </w:rPr>
        <w:t>Carrying baskets on the head is entirely plausible in an Egyptian and wider Near Eastern setting, but no specific archaeological scene is needed to validate the narrative.</w:t>
      </w:r>
    </w:p>
    <w:p>
      <w:pPr>
        <w:pStyle w:val="Heading2"/>
      </w:pPr>
      <w:r>
        <w:t>Genesis 40:18–19 — the same three days, opposite outcome</w:t>
      </w:r>
    </w:p>
    <w:p>
      <w:pPr/>
      <w:r>
        <w:rPr>
          <w:i w:val="0"/>
        </w:rPr>
        <w:t>Again the three objects represent three days. Joseph then adds the decisive words: Pharaoh will lift up the baker’s head “from off thee,” hang him, and birds will eat his flesh. The verbal parallel with verse 13 makes the contrast sharp: the same royal review restores one servant and condemns the other.</w:t>
      </w:r>
    </w:p>
    <w:p>
      <w:pPr/>
      <w:r>
        <w:rPr>
          <w:i w:val="0"/>
        </w:rPr>
        <w:t>Joseph does not soften an unfavourable revelation merely because it is painful. Mansfield appropriately uses this as an example of faithful proclamation: interpretation belongs to God, so Joseph reports the message he has received.</w:t>
      </w:r>
    </w:p>
    <w:p>
      <w:pPr>
        <w:pStyle w:val="Heading1"/>
      </w:pPr>
      <w:r>
        <w:t>THE THIRD DAY — GENESIS 40:20–22</w:t>
      </w:r>
    </w:p>
    <w:p>
      <w:pPr>
        <w:pStyle w:val="Heading2"/>
      </w:pPr>
      <w:r>
        <w:t>Genesis 40:20 — Pharaoh’s birthday and the lifting of heads</w:t>
      </w:r>
    </w:p>
    <w:p>
      <w:pPr/>
      <w:r>
        <w:rPr>
          <w:i w:val="0"/>
        </w:rPr>
        <w:t>On the third day, Pharaoh’s birthday, he holds a feast for his servants and “lifts up the head” of both officers among them — that is, he formally takes up or reviews their cases. The paired prediction is now brought to public decision.</w:t>
      </w:r>
    </w:p>
    <w:p>
      <w:pPr>
        <w:pStyle w:val="Heading2"/>
      </w:pPr>
      <w:r>
        <w:t>Genesis 40:21–22 — exact fulfilment</w:t>
      </w:r>
    </w:p>
    <w:p>
      <w:pPr/>
      <w:r>
        <w:rPr>
          <w:i w:val="0"/>
        </w:rPr>
        <w:t>The chief cupbearer is restored and again puts the cup into Pharaoh’s hand; the chief baker is hanged. The narrator closes the pair with the important phrase, “as Joseph had interpreted to them.” The exact fulfilment validates Joseph’s confession in verse 8: the interpretations did indeed come from God.</w:t>
      </w:r>
    </w:p>
    <w:p>
      <w:pPr>
        <w:pStyle w:val="Heading1"/>
      </w:pPr>
      <w:r>
        <w:t>JOSEPH FORGOTTEN — GENESIS 40:23</w:t>
      </w:r>
    </w:p>
    <w:p>
      <w:pPr>
        <w:pStyle w:val="Heading2"/>
      </w:pPr>
      <w:r>
        <w:t>Genesis 40:23 — human forgetfulness, Divine timing</w:t>
      </w:r>
    </w:p>
    <w:p>
      <w:pPr/>
      <w:r>
        <w:rPr>
          <w:i w:val="0"/>
        </w:rPr>
        <w:t>“Yet did not the chief butler remember Joseph, but forgat him.” The Hebrew shakach means forget or put out of mind. Mansfield speculates that the restored cupbearer may have feared risking Pharaoh’s anger by raising another prisoner’s case; Scripture does not give the motive. What matters is the delay itself.</w:t>
      </w:r>
    </w:p>
    <w:p>
      <w:pPr/>
      <w:r>
        <w:rPr>
          <w:i w:val="0"/>
        </w:rPr>
        <w:t>Joseph’s hoped-for human avenue fails for two more years (Genesis 41:1). Yet the delay is providentially exact: had Joseph simply been released earlier, he might never have stood before Pharaoh at the moment when Pharaoh desperately needed an interpreter. Human forgetfulness therefore becomes part of Divine timing rather than a defeat of it.</w:t>
      </w:r>
    </w:p>
    <w:p>
      <w:pPr>
        <w:pStyle w:val="Heading1"/>
      </w:pPr>
      <w:r>
        <w:t>JOSEPH AND CHRIST — CHECKED TYPOLOGICAL PATTERN</w:t>
      </w:r>
    </w:p>
    <w:p>
      <w:pPr/>
      <w:r>
        <w:rPr>
          <w:i w:val="0"/>
        </w:rPr>
        <w:t>Mansfield compares the two prisoners with the two men crucified beside Christ, one of whom receives a promise of life (Luke 23:32–43), and more broadly with acceptance and rejection at judgment. The correspondence is useful at the level of paired destinies, but Genesis 40 does not itself identify the cupbearer and baker as prophetic symbols. The historical narrative remains primary.</w:t>
      </w:r>
    </w:p>
    <w:p>
      <w:pPr>
        <w:pStyle w:val="Heading1"/>
      </w:pPr>
      <w:r>
        <w:t>PRINCIPAL THEMES</w:t>
      </w:r>
    </w:p>
    <w:p>
      <w:pPr>
        <w:ind w:left="259" w:hanging="202"/>
      </w:pPr>
      <w:r>
        <w:rPr>
          <w:b/>
        </w:rPr>
        <w:t xml:space="preserve">• </w:t>
      </w:r>
      <w:r>
        <w:t>Joseph continues to serve others while suffering unjustly.</w:t>
      </w:r>
    </w:p>
    <w:p>
      <w:pPr>
        <w:ind w:left="259" w:hanging="202"/>
      </w:pPr>
      <w:r>
        <w:rPr>
          <w:b/>
        </w:rPr>
        <w:t xml:space="preserve">• </w:t>
      </w:r>
      <w:r>
        <w:t>True interpretation is explicitly attributed to God, not to human occult skill.</w:t>
      </w:r>
    </w:p>
    <w:p>
      <w:pPr>
        <w:ind w:left="259" w:hanging="202"/>
      </w:pPr>
      <w:r>
        <w:rPr>
          <w:b/>
        </w:rPr>
        <w:t xml:space="preserve">• </w:t>
      </w:r>
      <w:r>
        <w:t>Providence works through ordinary court events and apparently incidental relationships.</w:t>
      </w:r>
    </w:p>
    <w:p>
      <w:pPr>
        <w:ind w:left="259" w:hanging="202"/>
      </w:pPr>
      <w:r>
        <w:rPr>
          <w:b/>
        </w:rPr>
        <w:t xml:space="preserve">• </w:t>
      </w:r>
      <w:r>
        <w:t>Joseph legitimately seeks justice without abandoning trust in God.</w:t>
      </w:r>
    </w:p>
    <w:p>
      <w:pPr>
        <w:ind w:left="259" w:hanging="202"/>
      </w:pPr>
      <w:r>
        <w:rPr>
          <w:b/>
        </w:rPr>
        <w:t xml:space="preserve">• </w:t>
      </w:r>
      <w:r>
        <w:t>The same three-day period brings restoration to one prisoner and judgment to the other.</w:t>
      </w:r>
    </w:p>
    <w:p>
      <w:pPr>
        <w:ind w:left="259" w:hanging="202"/>
      </w:pPr>
      <w:r>
        <w:rPr>
          <w:b/>
        </w:rPr>
        <w:t xml:space="preserve">• </w:t>
      </w:r>
      <w:r>
        <w:t>Exact fulfilment validates the Divine source of Joseph’s interpretations.</w:t>
      </w:r>
    </w:p>
    <w:p>
      <w:pPr>
        <w:ind w:left="259" w:hanging="202"/>
      </w:pPr>
      <w:r>
        <w:rPr>
          <w:b/>
        </w:rPr>
        <w:t xml:space="preserve">• </w:t>
      </w:r>
      <w:r>
        <w:t>Human forgetfulness delays Joseph, but cannot frustrate Divine timing.</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40:1</w:t>
            </w:r>
          </w:p>
        </w:tc>
        <w:tc>
          <w:tcPr>
            <w:tcW w:type="dxa" w:w="3552"/>
            <w:vAlign w:val="top"/>
          </w:tcPr>
          <w:p>
            <w:pPr>
              <w:spacing w:after="0"/>
            </w:pPr>
            <w:r>
              <w:rPr>
                <w:rFonts w:ascii="Times New Roman" w:hAnsi="Times New Roman"/>
                <w:sz w:val="15"/>
              </w:rPr>
              <w:t>mashqeh</w:t>
            </w:r>
          </w:p>
        </w:tc>
        <w:tc>
          <w:tcPr>
            <w:tcW w:type="dxa" w:w="3552"/>
            <w:vAlign w:val="top"/>
          </w:tcPr>
          <w:p>
            <w:pPr>
              <w:spacing w:after="0"/>
            </w:pPr>
            <w:r>
              <w:rPr>
                <w:rFonts w:ascii="Times New Roman" w:hAnsi="Times New Roman"/>
                <w:sz w:val="15"/>
              </w:rPr>
              <w:t>Cupbearer; trusted royal drink-server, not merely a domestic “butler.”</w:t>
            </w:r>
          </w:p>
        </w:tc>
      </w:tr>
      <w:tr>
        <w:tc>
          <w:tcPr>
            <w:tcW w:type="dxa" w:w="3552"/>
            <w:vAlign w:val="top"/>
          </w:tcPr>
          <w:p>
            <w:pPr>
              <w:spacing w:after="0"/>
            </w:pPr>
            <w:r>
              <w:rPr>
                <w:rFonts w:ascii="Times New Roman" w:hAnsi="Times New Roman"/>
                <w:sz w:val="15"/>
              </w:rPr>
              <w:t>Gen. 40:1</w:t>
            </w:r>
          </w:p>
        </w:tc>
        <w:tc>
          <w:tcPr>
            <w:tcW w:type="dxa" w:w="3552"/>
            <w:vAlign w:val="top"/>
          </w:tcPr>
          <w:p>
            <w:pPr>
              <w:spacing w:after="0"/>
            </w:pPr>
            <w:r>
              <w:rPr>
                <w:rFonts w:ascii="Times New Roman" w:hAnsi="Times New Roman"/>
                <w:sz w:val="15"/>
              </w:rPr>
              <w:t>chata’</w:t>
            </w:r>
          </w:p>
        </w:tc>
        <w:tc>
          <w:tcPr>
            <w:tcW w:type="dxa" w:w="3552"/>
            <w:vAlign w:val="top"/>
          </w:tcPr>
          <w:p>
            <w:pPr>
              <w:spacing w:after="0"/>
            </w:pPr>
            <w:r>
              <w:rPr>
                <w:rFonts w:ascii="Times New Roman" w:hAnsi="Times New Roman"/>
                <w:sz w:val="15"/>
              </w:rPr>
              <w:t>Offend/sin/miss the mark; exact offence is not revealed.</w:t>
            </w:r>
          </w:p>
        </w:tc>
      </w:tr>
      <w:tr>
        <w:tc>
          <w:tcPr>
            <w:tcW w:type="dxa" w:w="3552"/>
            <w:vAlign w:val="top"/>
          </w:tcPr>
          <w:p>
            <w:pPr>
              <w:spacing w:after="0"/>
            </w:pPr>
            <w:r>
              <w:rPr>
                <w:rFonts w:ascii="Times New Roman" w:hAnsi="Times New Roman"/>
                <w:sz w:val="15"/>
              </w:rPr>
              <w:t>Gen. 40:3</w:t>
            </w:r>
          </w:p>
        </w:tc>
        <w:tc>
          <w:tcPr>
            <w:tcW w:type="dxa" w:w="3552"/>
            <w:vAlign w:val="top"/>
          </w:tcPr>
          <w:p>
            <w:pPr>
              <w:spacing w:after="0"/>
            </w:pPr>
            <w:r>
              <w:rPr>
                <w:rFonts w:ascii="Times New Roman" w:hAnsi="Times New Roman"/>
                <w:sz w:val="15"/>
              </w:rPr>
              <w:t>Psa. 105:18</w:t>
            </w:r>
          </w:p>
        </w:tc>
        <w:tc>
          <w:tcPr>
            <w:tcW w:type="dxa" w:w="3552"/>
            <w:vAlign w:val="top"/>
          </w:tcPr>
          <w:p>
            <w:pPr>
              <w:spacing w:after="0"/>
            </w:pPr>
            <w:r>
              <w:rPr>
                <w:rFonts w:ascii="Times New Roman" w:hAnsi="Times New Roman"/>
                <w:sz w:val="15"/>
              </w:rPr>
              <w:t>Confirms Joseph’s imprisonment initially involved fetters/iron.</w:t>
            </w:r>
          </w:p>
        </w:tc>
      </w:tr>
      <w:tr>
        <w:tc>
          <w:tcPr>
            <w:tcW w:type="dxa" w:w="3552"/>
            <w:vAlign w:val="top"/>
          </w:tcPr>
          <w:p>
            <w:pPr>
              <w:spacing w:after="0"/>
            </w:pPr>
            <w:r>
              <w:rPr>
                <w:rFonts w:ascii="Times New Roman" w:hAnsi="Times New Roman"/>
                <w:sz w:val="15"/>
              </w:rPr>
              <w:t>Gen. 40:5</w:t>
            </w:r>
          </w:p>
        </w:tc>
        <w:tc>
          <w:tcPr>
            <w:tcW w:type="dxa" w:w="3552"/>
            <w:vAlign w:val="top"/>
          </w:tcPr>
          <w:p>
            <w:pPr>
              <w:spacing w:after="0"/>
            </w:pPr>
            <w:r>
              <w:rPr>
                <w:rFonts w:ascii="Times New Roman" w:hAnsi="Times New Roman"/>
                <w:sz w:val="15"/>
              </w:rPr>
              <w:t>paired dreams</w:t>
            </w:r>
          </w:p>
        </w:tc>
        <w:tc>
          <w:tcPr>
            <w:tcW w:type="dxa" w:w="3552"/>
            <w:vAlign w:val="top"/>
          </w:tcPr>
          <w:p>
            <w:pPr>
              <w:spacing w:after="0"/>
            </w:pPr>
            <w:r>
              <w:rPr>
                <w:rFonts w:ascii="Times New Roman" w:hAnsi="Times New Roman"/>
                <w:sz w:val="15"/>
              </w:rPr>
              <w:t>Each has its own interpretation; same-night parallel is deliberate.</w:t>
            </w:r>
          </w:p>
        </w:tc>
      </w:tr>
      <w:tr>
        <w:tc>
          <w:tcPr>
            <w:tcW w:type="dxa" w:w="3552"/>
            <w:vAlign w:val="top"/>
          </w:tcPr>
          <w:p>
            <w:pPr>
              <w:spacing w:after="0"/>
            </w:pPr>
            <w:r>
              <w:rPr>
                <w:rFonts w:ascii="Times New Roman" w:hAnsi="Times New Roman"/>
                <w:sz w:val="15"/>
              </w:rPr>
              <w:t>Gen. 40:8</w:t>
            </w:r>
          </w:p>
        </w:tc>
        <w:tc>
          <w:tcPr>
            <w:tcW w:type="dxa" w:w="3552"/>
            <w:vAlign w:val="top"/>
          </w:tcPr>
          <w:p>
            <w:pPr>
              <w:spacing w:after="0"/>
            </w:pPr>
            <w:r>
              <w:rPr>
                <w:rFonts w:ascii="Times New Roman" w:hAnsi="Times New Roman"/>
                <w:sz w:val="15"/>
              </w:rPr>
              <w:t>Psa. 105:19</w:t>
            </w:r>
          </w:p>
        </w:tc>
        <w:tc>
          <w:tcPr>
            <w:tcW w:type="dxa" w:w="3552"/>
            <w:vAlign w:val="top"/>
          </w:tcPr>
          <w:p>
            <w:pPr>
              <w:spacing w:after="0"/>
            </w:pPr>
            <w:r>
              <w:rPr>
                <w:rFonts w:ascii="Times New Roman" w:hAnsi="Times New Roman"/>
                <w:sz w:val="15"/>
              </w:rPr>
              <w:t>Joseph attributes interpretation to God while the Divine word continues to test him.</w:t>
            </w:r>
          </w:p>
        </w:tc>
      </w:tr>
      <w:tr>
        <w:tc>
          <w:tcPr>
            <w:tcW w:type="dxa" w:w="3552"/>
            <w:vAlign w:val="top"/>
          </w:tcPr>
          <w:p>
            <w:pPr>
              <w:spacing w:after="0"/>
            </w:pPr>
            <w:r>
              <w:rPr>
                <w:rFonts w:ascii="Times New Roman" w:hAnsi="Times New Roman"/>
                <w:sz w:val="15"/>
              </w:rPr>
              <w:t>Gen. 40:9–11</w:t>
            </w:r>
          </w:p>
        </w:tc>
        <w:tc>
          <w:tcPr>
            <w:tcW w:type="dxa" w:w="3552"/>
            <w:vAlign w:val="top"/>
          </w:tcPr>
          <w:p>
            <w:pPr>
              <w:spacing w:after="0"/>
            </w:pPr>
            <w:r>
              <w:rPr>
                <w:rFonts w:ascii="Times New Roman" w:hAnsi="Times New Roman"/>
                <w:sz w:val="15"/>
              </w:rPr>
              <w:t>vine / cup</w:t>
            </w:r>
          </w:p>
        </w:tc>
        <w:tc>
          <w:tcPr>
            <w:tcW w:type="dxa" w:w="3552"/>
            <w:vAlign w:val="top"/>
          </w:tcPr>
          <w:p>
            <w:pPr>
              <w:spacing w:after="0"/>
            </w:pPr>
            <w:r>
              <w:rPr>
                <w:rFonts w:ascii="Times New Roman" w:hAnsi="Times New Roman"/>
                <w:sz w:val="15"/>
              </w:rPr>
              <w:t>Literal occupational imagery primary; resurrection/wine symbolism kept typological.</w:t>
            </w:r>
          </w:p>
        </w:tc>
      </w:tr>
      <w:tr>
        <w:tc>
          <w:tcPr>
            <w:tcW w:type="dxa" w:w="3552"/>
            <w:vAlign w:val="top"/>
          </w:tcPr>
          <w:p>
            <w:pPr>
              <w:spacing w:after="0"/>
            </w:pPr>
            <w:r>
              <w:rPr>
                <w:rFonts w:ascii="Times New Roman" w:hAnsi="Times New Roman"/>
                <w:sz w:val="15"/>
              </w:rPr>
              <w:t>Gen. 40:13</w:t>
            </w:r>
          </w:p>
        </w:tc>
        <w:tc>
          <w:tcPr>
            <w:tcW w:type="dxa" w:w="3552"/>
            <w:vAlign w:val="top"/>
          </w:tcPr>
          <w:p>
            <w:pPr>
              <w:spacing w:after="0"/>
            </w:pPr>
            <w:r>
              <w:rPr>
                <w:rFonts w:ascii="Times New Roman" w:hAnsi="Times New Roman"/>
                <w:sz w:val="15"/>
              </w:rPr>
              <w:t>lift up head</w:t>
            </w:r>
          </w:p>
        </w:tc>
        <w:tc>
          <w:tcPr>
            <w:tcW w:type="dxa" w:w="3552"/>
            <w:vAlign w:val="top"/>
          </w:tcPr>
          <w:p>
            <w:pPr>
              <w:spacing w:after="0"/>
            </w:pPr>
            <w:r>
              <w:rPr>
                <w:rFonts w:ascii="Times New Roman" w:hAnsi="Times New Roman"/>
                <w:sz w:val="15"/>
              </w:rPr>
              <w:t>Raise/take account of the case; contrasted with v.19.</w:t>
            </w:r>
          </w:p>
        </w:tc>
      </w:tr>
      <w:tr>
        <w:tc>
          <w:tcPr>
            <w:tcW w:type="dxa" w:w="3552"/>
            <w:vAlign w:val="top"/>
          </w:tcPr>
          <w:p>
            <w:pPr>
              <w:spacing w:after="0"/>
            </w:pPr>
            <w:r>
              <w:rPr>
                <w:rFonts w:ascii="Times New Roman" w:hAnsi="Times New Roman"/>
                <w:sz w:val="15"/>
              </w:rPr>
              <w:t>Gen. 40:14</w:t>
            </w:r>
          </w:p>
        </w:tc>
        <w:tc>
          <w:tcPr>
            <w:tcW w:type="dxa" w:w="3552"/>
            <w:vAlign w:val="top"/>
          </w:tcPr>
          <w:p>
            <w:pPr>
              <w:spacing w:after="0"/>
            </w:pPr>
            <w:r>
              <w:rPr>
                <w:rFonts w:ascii="Times New Roman" w:hAnsi="Times New Roman"/>
                <w:sz w:val="15"/>
              </w:rPr>
              <w:t>remember me</w:t>
            </w:r>
          </w:p>
        </w:tc>
        <w:tc>
          <w:tcPr>
            <w:tcW w:type="dxa" w:w="3552"/>
            <w:vAlign w:val="top"/>
          </w:tcPr>
          <w:p>
            <w:pPr>
              <w:spacing w:after="0"/>
            </w:pPr>
            <w:r>
              <w:rPr>
                <w:rFonts w:ascii="Times New Roman" w:hAnsi="Times New Roman"/>
                <w:sz w:val="15"/>
              </w:rPr>
              <w:t>Legitimate appeal for justice, not evidence of unbelief.</w:t>
            </w:r>
          </w:p>
        </w:tc>
      </w:tr>
      <w:tr>
        <w:tc>
          <w:tcPr>
            <w:tcW w:type="dxa" w:w="3552"/>
            <w:vAlign w:val="top"/>
          </w:tcPr>
          <w:p>
            <w:pPr>
              <w:spacing w:after="0"/>
            </w:pPr>
            <w:r>
              <w:rPr>
                <w:rFonts w:ascii="Times New Roman" w:hAnsi="Times New Roman"/>
                <w:sz w:val="15"/>
              </w:rPr>
              <w:t>Gen. 40:15</w:t>
            </w:r>
          </w:p>
        </w:tc>
        <w:tc>
          <w:tcPr>
            <w:tcW w:type="dxa" w:w="3552"/>
            <w:vAlign w:val="top"/>
          </w:tcPr>
          <w:p>
            <w:pPr>
              <w:spacing w:after="0"/>
            </w:pPr>
            <w:r>
              <w:rPr>
                <w:rFonts w:ascii="Times New Roman" w:hAnsi="Times New Roman"/>
                <w:sz w:val="15"/>
              </w:rPr>
              <w:t>Gen. 14:13</w:t>
            </w:r>
          </w:p>
        </w:tc>
        <w:tc>
          <w:tcPr>
            <w:tcW w:type="dxa" w:w="3552"/>
            <w:vAlign w:val="top"/>
          </w:tcPr>
          <w:p>
            <w:pPr>
              <w:spacing w:after="0"/>
            </w:pPr>
            <w:r>
              <w:rPr>
                <w:rFonts w:ascii="Times New Roman" w:hAnsi="Times New Roman"/>
                <w:sz w:val="15"/>
              </w:rPr>
              <w:t>“Land of the Hebrews” is intelligible from patriarchal Hebrew identity before political possession.</w:t>
            </w:r>
          </w:p>
        </w:tc>
      </w:tr>
      <w:tr>
        <w:tc>
          <w:tcPr>
            <w:tcW w:type="dxa" w:w="3552"/>
            <w:vAlign w:val="top"/>
          </w:tcPr>
          <w:p>
            <w:pPr>
              <w:spacing w:after="0"/>
            </w:pPr>
            <w:r>
              <w:rPr>
                <w:rFonts w:ascii="Times New Roman" w:hAnsi="Times New Roman"/>
                <w:sz w:val="15"/>
              </w:rPr>
              <w:t>Gen. 40:15</w:t>
            </w:r>
          </w:p>
        </w:tc>
        <w:tc>
          <w:tcPr>
            <w:tcW w:type="dxa" w:w="3552"/>
            <w:vAlign w:val="top"/>
          </w:tcPr>
          <w:p>
            <w:pPr>
              <w:spacing w:after="0"/>
            </w:pPr>
            <w:r>
              <w:rPr>
                <w:rFonts w:ascii="Times New Roman" w:hAnsi="Times New Roman"/>
                <w:sz w:val="15"/>
              </w:rPr>
              <w:t>bor; Gen. 37:20–24</w:t>
            </w:r>
          </w:p>
        </w:tc>
        <w:tc>
          <w:tcPr>
            <w:tcW w:type="dxa" w:w="3552"/>
            <w:vAlign w:val="top"/>
          </w:tcPr>
          <w:p>
            <w:pPr>
              <w:spacing w:after="0"/>
            </w:pPr>
            <w:r>
              <w:rPr>
                <w:rFonts w:ascii="Times New Roman" w:hAnsi="Times New Roman"/>
                <w:sz w:val="15"/>
              </w:rPr>
              <w:t>Dungeon/pit is the same noun used for Joseph’s earlier pit.</w:t>
            </w:r>
          </w:p>
        </w:tc>
      </w:tr>
      <w:tr>
        <w:tc>
          <w:tcPr>
            <w:tcW w:type="dxa" w:w="3552"/>
            <w:vAlign w:val="top"/>
          </w:tcPr>
          <w:p>
            <w:pPr>
              <w:spacing w:after="0"/>
            </w:pPr>
            <w:r>
              <w:rPr>
                <w:rFonts w:ascii="Times New Roman" w:hAnsi="Times New Roman"/>
                <w:sz w:val="15"/>
              </w:rPr>
              <w:t>Gen. 40:16</w:t>
            </w:r>
          </w:p>
        </w:tc>
        <w:tc>
          <w:tcPr>
            <w:tcW w:type="dxa" w:w="3552"/>
            <w:vAlign w:val="top"/>
          </w:tcPr>
          <w:p>
            <w:pPr>
              <w:spacing w:after="0"/>
            </w:pPr>
            <w:r>
              <w:rPr>
                <w:rFonts w:ascii="Times New Roman" w:hAnsi="Times New Roman"/>
                <w:sz w:val="15"/>
              </w:rPr>
              <w:t>chori / basket phrase</w:t>
            </w:r>
          </w:p>
        </w:tc>
        <w:tc>
          <w:tcPr>
            <w:tcW w:type="dxa" w:w="3552"/>
            <w:vAlign w:val="top"/>
          </w:tcPr>
          <w:p>
            <w:pPr>
              <w:spacing w:after="0"/>
            </w:pPr>
            <w:r>
              <w:rPr>
                <w:rFonts w:ascii="Times New Roman" w:hAnsi="Times New Roman"/>
                <w:sz w:val="15"/>
              </w:rPr>
              <w:t>KJV “white baskets” is uncertain; white-bread/open-work proposals kept cautious.</w:t>
            </w:r>
          </w:p>
        </w:tc>
      </w:tr>
      <w:tr>
        <w:tc>
          <w:tcPr>
            <w:tcW w:type="dxa" w:w="3552"/>
            <w:vAlign w:val="top"/>
          </w:tcPr>
          <w:p>
            <w:pPr>
              <w:spacing w:after="0"/>
            </w:pPr>
            <w:r>
              <w:rPr>
                <w:rFonts w:ascii="Times New Roman" w:hAnsi="Times New Roman"/>
                <w:sz w:val="15"/>
              </w:rPr>
              <w:t>Gen. 40:19</w:t>
            </w:r>
          </w:p>
        </w:tc>
        <w:tc>
          <w:tcPr>
            <w:tcW w:type="dxa" w:w="3552"/>
            <w:vAlign w:val="top"/>
          </w:tcPr>
          <w:p>
            <w:pPr>
              <w:spacing w:after="0"/>
            </w:pPr>
            <w:r>
              <w:rPr>
                <w:rFonts w:ascii="Times New Roman" w:hAnsi="Times New Roman"/>
                <w:sz w:val="15"/>
              </w:rPr>
              <w:t>“from off thee”</w:t>
            </w:r>
          </w:p>
        </w:tc>
        <w:tc>
          <w:tcPr>
            <w:tcW w:type="dxa" w:w="3552"/>
            <w:vAlign w:val="top"/>
          </w:tcPr>
          <w:p>
            <w:pPr>
              <w:spacing w:after="0"/>
            </w:pPr>
            <w:r>
              <w:rPr>
                <w:rFonts w:ascii="Times New Roman" w:hAnsi="Times New Roman"/>
                <w:sz w:val="15"/>
              </w:rPr>
              <w:t>Three extra words distinguish death from the cupbearer’s restoration.</w:t>
            </w:r>
          </w:p>
        </w:tc>
      </w:tr>
      <w:tr>
        <w:tc>
          <w:tcPr>
            <w:tcW w:type="dxa" w:w="3552"/>
            <w:vAlign w:val="top"/>
          </w:tcPr>
          <w:p>
            <w:pPr>
              <w:spacing w:after="0"/>
            </w:pPr>
            <w:r>
              <w:rPr>
                <w:rFonts w:ascii="Times New Roman" w:hAnsi="Times New Roman"/>
                <w:sz w:val="15"/>
              </w:rPr>
              <w:t>Gen. 40:20</w:t>
            </w:r>
          </w:p>
        </w:tc>
        <w:tc>
          <w:tcPr>
            <w:tcW w:type="dxa" w:w="3552"/>
            <w:vAlign w:val="top"/>
          </w:tcPr>
          <w:p>
            <w:pPr>
              <w:spacing w:after="0"/>
            </w:pPr>
            <w:r>
              <w:rPr>
                <w:rFonts w:ascii="Times New Roman" w:hAnsi="Times New Roman"/>
                <w:sz w:val="15"/>
              </w:rPr>
              <w:t>birthday / royal review</w:t>
            </w:r>
          </w:p>
        </w:tc>
        <w:tc>
          <w:tcPr>
            <w:tcW w:type="dxa" w:w="3552"/>
            <w:vAlign w:val="top"/>
          </w:tcPr>
          <w:p>
            <w:pPr>
              <w:spacing w:after="0"/>
            </w:pPr>
            <w:r>
              <w:rPr>
                <w:rFonts w:ascii="Times New Roman" w:hAnsi="Times New Roman"/>
                <w:sz w:val="15"/>
              </w:rPr>
              <w:t>Third-day feast is explicit; “lift head” embraces formal consideration of both cases.</w:t>
            </w:r>
          </w:p>
        </w:tc>
      </w:tr>
      <w:tr>
        <w:tc>
          <w:tcPr>
            <w:tcW w:type="dxa" w:w="3552"/>
            <w:vAlign w:val="top"/>
          </w:tcPr>
          <w:p>
            <w:pPr>
              <w:spacing w:after="0"/>
            </w:pPr>
            <w:r>
              <w:rPr>
                <w:rFonts w:ascii="Times New Roman" w:hAnsi="Times New Roman"/>
                <w:sz w:val="15"/>
              </w:rPr>
              <w:t>Gen. 40:21–22</w:t>
            </w:r>
          </w:p>
        </w:tc>
        <w:tc>
          <w:tcPr>
            <w:tcW w:type="dxa" w:w="3552"/>
            <w:vAlign w:val="top"/>
          </w:tcPr>
          <w:p>
            <w:pPr>
              <w:spacing w:after="0"/>
            </w:pPr>
            <w:r>
              <w:rPr>
                <w:rFonts w:ascii="Times New Roman" w:hAnsi="Times New Roman"/>
                <w:sz w:val="15"/>
              </w:rPr>
              <w:t>exact fulfilment</w:t>
            </w:r>
          </w:p>
        </w:tc>
        <w:tc>
          <w:tcPr>
            <w:tcW w:type="dxa" w:w="3552"/>
            <w:vAlign w:val="top"/>
          </w:tcPr>
          <w:p>
            <w:pPr>
              <w:spacing w:after="0"/>
            </w:pPr>
            <w:r>
              <w:rPr>
                <w:rFonts w:ascii="Times New Roman" w:hAnsi="Times New Roman"/>
                <w:sz w:val="15"/>
              </w:rPr>
              <w:t>Narrator explicitly says events occurred as Joseph interpreted.</w:t>
            </w:r>
          </w:p>
        </w:tc>
      </w:tr>
      <w:tr>
        <w:tc>
          <w:tcPr>
            <w:tcW w:type="dxa" w:w="3552"/>
            <w:vAlign w:val="top"/>
          </w:tcPr>
          <w:p>
            <w:pPr>
              <w:spacing w:after="0"/>
            </w:pPr>
            <w:r>
              <w:rPr>
                <w:rFonts w:ascii="Times New Roman" w:hAnsi="Times New Roman"/>
                <w:sz w:val="15"/>
              </w:rPr>
              <w:t>Gen. 40:23</w:t>
            </w:r>
          </w:p>
        </w:tc>
        <w:tc>
          <w:tcPr>
            <w:tcW w:type="dxa" w:w="3552"/>
            <w:vAlign w:val="top"/>
          </w:tcPr>
          <w:p>
            <w:pPr>
              <w:spacing w:after="0"/>
            </w:pPr>
            <w:r>
              <w:rPr>
                <w:rFonts w:ascii="Times New Roman" w:hAnsi="Times New Roman"/>
                <w:sz w:val="15"/>
              </w:rPr>
              <w:t>shakach</w:t>
            </w:r>
          </w:p>
        </w:tc>
        <w:tc>
          <w:tcPr>
            <w:tcW w:type="dxa" w:w="3552"/>
            <w:vAlign w:val="top"/>
          </w:tcPr>
          <w:p>
            <w:pPr>
              <w:spacing w:after="0"/>
            </w:pPr>
            <w:r>
              <w:rPr>
                <w:rFonts w:ascii="Times New Roman" w:hAnsi="Times New Roman"/>
                <w:sz w:val="15"/>
              </w:rPr>
              <w:t>Forget/put out of mind; cupbearer’s motive for silence remains unknown.</w:t>
            </w:r>
          </w:p>
        </w:tc>
      </w:tr>
    </w:tbl>
    <w:p>
      <w:pPr>
        <w:pStyle w:val="Heading1"/>
      </w:pPr>
      <w:r>
        <w:t>RESIDUAL UNCERTAINTIES</w:t>
      </w:r>
    </w:p>
    <w:p>
      <w:pPr/>
      <w:r>
        <w:rPr>
          <w:i w:val="0"/>
        </w:rPr>
        <w:t>Genesis does not reveal the offences of the cupbearer and baker, the exact construction meant by the KJV’s “white baskets,” or the restored cupbearer’s reason for failing to mention Joseph. Older Expositor suggestions about poisoning, indigestion, specific Egyptian prison architecture, and detailed symbolic meanings of every vine/bread/bird feature have therefore not been treated as factual readings of the chapter.</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2"/>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6" w:after="22"/>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