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41</w:t>
      </w:r>
    </w:p>
    <w:p>
      <w:pPr>
        <w:pStyle w:val="Subtitle"/>
      </w:pPr>
      <w:r>
        <w:t>PHARAOH’S DREAMS • “IT IS NOT IN ME” • SEVEN YEARS AND SEVEN YEARS • JOSEPH EXALTED • MANASSEH AND EPHRAIM • BREAD IN FAMINE</w:t>
      </w:r>
    </w:p>
    <w:p>
      <w:pPr/>
      <w:r>
        <w:rPr>
          <w:i/>
        </w:rPr>
        <w:t>H. P. Mansfield Bible notes — checked and arranged in verse-by-verse Expositor style</w:t>
      </w:r>
    </w:p>
    <w:p>
      <w:pPr/>
      <w:r>
        <w:rPr>
          <w:i w:val="0"/>
        </w:rPr>
        <w:t>Source: HPB 01-Gen01-Gen41.PDF pp.98–100, completed from HPB 02-Gen42-Lev11.pdf for Genesis 41:50–57</w:t>
      </w:r>
    </w:p>
    <w:p>
      <w:pPr>
        <w:pStyle w:val="Heading1"/>
      </w:pPr>
      <w:r>
        <w:t>CHAPTER OVERVIEW</w:t>
      </w:r>
    </w:p>
    <w:p>
      <w:pPr/>
      <w:r>
        <w:rPr>
          <w:i w:val="0"/>
        </w:rPr>
        <w:t>Genesis 41 records one of Scripture’s most dramatic reversals: Joseph moves from forgotten prisoner to ruler under Pharaoh in a single day. The transition is not accidental. Pharaoh’s dreams, the cupbearer’s delayed memory, Joseph’s God-centred interpretation, the administrative policy and the coming famine all converge at the appointed time.</w:t>
      </w:r>
    </w:p>
    <w:p>
      <w:pPr/>
      <w:r>
        <w:rPr>
          <w:i w:val="0"/>
        </w:rPr>
        <w:t>Joseph never claims the revelation as his own. The man who said in prison, “Do not interpretations belong to God?” now tells Pharaoh, “It is not in me.” Divine revelation leads immediately to practical preparation, and the rejected Hebrew becomes the appointed means by which Egypt and surrounding lands are preserved alive.</w:t>
      </w:r>
    </w:p>
    <w:p>
      <w:pPr>
        <w:pStyle w:val="Heading1"/>
      </w:pPr>
      <w:r>
        <w:t>PHARAOH’S TWO DREAMS — GENESIS 41:1–8</w:t>
      </w:r>
    </w:p>
    <w:p>
      <w:pPr>
        <w:pStyle w:val="Heading2"/>
      </w:pPr>
      <w:r>
        <w:t>Genesis 41:1 — two full years and the Nile</w:t>
      </w:r>
    </w:p>
    <w:p>
      <w:pPr/>
      <w:r>
        <w:rPr>
          <w:i w:val="0"/>
        </w:rPr>
        <w:t>Two full years pass after the cupbearer’s restoration before Pharaoh dreams. Joseph is thirty when he later stands before Pharaoh (v.46), so thirteen years have elapsed since he was seventeen at the beginning of Genesis 37. Scripture does not divide those thirteen years precisely between Potiphar’s house and prison; Mansfield’s proposed ten-plus-three-year division is reconstruction, not a stated chronology.</w:t>
      </w:r>
    </w:p>
    <w:p>
      <w:pPr/>
      <w:r>
        <w:rPr>
          <w:i w:val="0"/>
        </w:rPr>
        <w:t>Pharaoh stands by “the river.” The Hebrew ye’or is an Egyptian loanword used especially for the Nile and its channels. Egypt’s agriculture depended fundamentally on the Nile flood, making the dream imagery immediately national in significance.</w:t>
      </w:r>
    </w:p>
    <w:p>
      <w:pPr>
        <w:pStyle w:val="Heading2"/>
      </w:pPr>
      <w:r>
        <w:t>Genesis 41:2–4 — seven fat cows consumed by seven lean cows</w:t>
      </w:r>
    </w:p>
    <w:p>
      <w:pPr/>
      <w:r>
        <w:rPr>
          <w:i w:val="0"/>
        </w:rPr>
        <w:t>Seven healthy, fat cows rise from the Nile and feed in the achu — marsh/reed grass along the river. Seven extremely poor and lean cows follow and devour them. Egyptian religion certainly gave cattle and cow imagery important symbolic roles, including Hathor and Apis traditions; that cultural background makes the imagery striking, but the dream’s inspired interpretation comes from God, not Egyptian mythology.</w:t>
      </w:r>
    </w:p>
    <w:p>
      <w:pPr>
        <w:pStyle w:val="Heading2"/>
      </w:pPr>
      <w:r>
        <w:t>Genesis 41:5–7 — seven full ears and seven blasted ears</w:t>
      </w:r>
    </w:p>
    <w:p>
      <w:pPr/>
      <w:r>
        <w:rPr>
          <w:i w:val="0"/>
        </w:rPr>
        <w:t>The second dream uses grain: seven full, good ears are swallowed by seven thin ears blasted by the east wind. Hot dry winds from the desert can rapidly damage crops. The shift from cattle to grain encompasses two foundations of food supply while delivering the same message.</w:t>
      </w:r>
    </w:p>
    <w:p>
      <w:pPr>
        <w:pStyle w:val="Heading2"/>
      </w:pPr>
      <w:r>
        <w:t>Genesis 41:8 — Egypt’s experts cannot interpret</w:t>
      </w:r>
    </w:p>
    <w:p>
      <w:pPr/>
      <w:r>
        <w:rPr>
          <w:i w:val="0"/>
        </w:rPr>
        <w:t>Pharaoh’s spirit is troubled and he summons the chartummim and wise men. Chartummim denotes the Egyptian magician/scribal-priestly experts associated with secret knowledge and court learning. Older attempts to derive the word precisely from “engravers of hieroglyphs” or assign fixed classes of five royal advisers are too specific to state with confidence. The theological contrast is secure: Egypt’s experts fail where God will reveal the answer through Joseph.</w:t>
      </w:r>
    </w:p>
    <w:p>
      <w:pPr>
        <w:pStyle w:val="Heading1"/>
      </w:pPr>
      <w:r>
        <w:t>THE CUPBEARER REMEMBERS — GENESIS 41:9–14</w:t>
      </w:r>
    </w:p>
    <w:p>
      <w:pPr>
        <w:pStyle w:val="Heading2"/>
      </w:pPr>
      <w:r>
        <w:t>Genesis 41:9–13 — “I do remember my faults this day”</w:t>
      </w:r>
    </w:p>
    <w:p>
      <w:pPr/>
      <w:r>
        <w:rPr>
          <w:i w:val="0"/>
        </w:rPr>
        <w:t>Only when Pharaoh’s need becomes acute does the chief cupbearer remember Joseph. He recounts the paired prison dreams and their exact fulfilment. What appeared in Genesis 40:23 to be merely frustrating forgetfulness has preserved Joseph for the moment when his gift is indispensable to Pharaoh.</w:t>
      </w:r>
    </w:p>
    <w:p>
      <w:pPr>
        <w:pStyle w:val="Heading2"/>
      </w:pPr>
      <w:r>
        <w:t>Genesis 41:14 — from pit to palace</w:t>
      </w:r>
    </w:p>
    <w:p>
      <w:pPr/>
      <w:r>
        <w:rPr>
          <w:i w:val="0"/>
        </w:rPr>
        <w:t>Pharaoh sends for Joseph and he is brought quickly from the bor, the pit/dungeon. He shaves and changes his garments before entering Pharaoh’s presence. Shaving was characteristic of Egyptian male grooming and court presentation, so Joseph appropriately prepares for audience. Mansfield’s further attempt to turn shaving itself into a detailed resurrection-cleansing symbol is typological rather than the literal reason supplied by Genesis.</w:t>
      </w:r>
    </w:p>
    <w:p>
      <w:pPr/>
      <w:r>
        <w:rPr>
          <w:i w:val="0"/>
        </w:rPr>
        <w:t>Psalm 105:17–22 later summarises the entire reversal: Joseph was sold, fettered, tested by the word of Yahweh, then released by the king and made ruler.</w:t>
      </w:r>
    </w:p>
    <w:p>
      <w:pPr>
        <w:pStyle w:val="Heading1"/>
      </w:pPr>
      <w:r>
        <w:t>“IT IS NOT IN ME” — GENESIS 41:15–24</w:t>
      </w:r>
    </w:p>
    <w:p>
      <w:pPr>
        <w:pStyle w:val="Heading2"/>
      </w:pPr>
      <w:r>
        <w:t>Genesis 41:15–16 — God will answer Pharaoh</w:t>
      </w:r>
    </w:p>
    <w:p>
      <w:pPr/>
      <w:r>
        <w:rPr>
          <w:i w:val="0"/>
        </w:rPr>
        <w:t>Pharaoh reports that Joseph is said to hear a dream and interpret it. Joseph immediately corrects the premise: “It is not in me: God shall give Pharaoh an answer of peace.” The Hebrew bil‘adai means apart from me/not in me; Joseph refuses personal credit. Daniel 2:27–30 later displays the same principle: the secret belongs to God, not the human interpreter.</w:t>
      </w:r>
    </w:p>
    <w:p>
      <w:pPr>
        <w:pStyle w:val="Heading2"/>
      </w:pPr>
      <w:r>
        <w:t>Genesis 41:17–24 — Pharaoh emphasises the severity</w:t>
      </w:r>
    </w:p>
    <w:p>
      <w:pPr/>
      <w:r>
        <w:rPr>
          <w:i w:val="0"/>
        </w:rPr>
        <w:t>Pharaoh retells both dreams, adding that the lean cattle were worse than any he had seen in Egypt and remained just as gaunt after devouring the fat cattle. The detail clarifies the coming famine: the distress will be so severe that the memory and visible benefit of the years of abundance will disappear.</w:t>
      </w:r>
    </w:p>
    <w:p>
      <w:pPr>
        <w:pStyle w:val="Heading1"/>
      </w:pPr>
      <w:r>
        <w:t>JOSEPH INTERPRETS — GENESIS 41:25–32</w:t>
      </w:r>
    </w:p>
    <w:p>
      <w:pPr>
        <w:pStyle w:val="Heading2"/>
      </w:pPr>
      <w:r>
        <w:t>Genesis 41:25–28 — “God hath shewed Pharaoh what he is about to do”</w:t>
      </w:r>
    </w:p>
    <w:p>
      <w:pPr/>
      <w:r>
        <w:rPr>
          <w:i w:val="0"/>
        </w:rPr>
        <w:t>Joseph begins and repeats the central proposition: Pharaoh’s two dreams are one, and God has shown what He is about to do. Seven good cows and seven good ears are seven years; the seven lean cows and seven blasted ears are seven years of famine. The revelation concerns God’s coming action, not hidden power in the dream symbols themselves.</w:t>
      </w:r>
    </w:p>
    <w:p>
      <w:pPr>
        <w:pStyle w:val="Heading2"/>
      </w:pPr>
      <w:r>
        <w:t>Genesis 41:29–31 — plenty erased by grievous famine</w:t>
      </w:r>
    </w:p>
    <w:p>
      <w:pPr/>
      <w:r>
        <w:rPr>
          <w:i w:val="0"/>
        </w:rPr>
        <w:t>Seven years of extraordinary abundance will be followed by seven years of famine so severe that the former plenty will be forgotten. Mansfield cites the so-called Famine Stela from Sehel/Sahal Island as evidence of a seven-year Egyptian famine. The surviving inscription is much later, from the Ptolemaic period, though it claims to describe events in Djoser’s reign. It is therefore useful only as a later Egyptian famine tradition, not contemporary proof from Joseph’s era.</w:t>
      </w:r>
    </w:p>
    <w:p>
      <w:pPr>
        <w:pStyle w:val="Heading2"/>
      </w:pPr>
      <w:r>
        <w:t>Genesis 41:32 — the doubled dream establishes certainty</w:t>
      </w:r>
    </w:p>
    <w:p>
      <w:pPr/>
      <w:r>
        <w:rPr>
          <w:i w:val="0"/>
        </w:rPr>
        <w:t>The dream is doubled because “the thing is established by God, and God will shortly bring it to pass.” Repetition is not merely literary decoration: it marks certainty and urgency. Genesis 37 and 40 also contained paired dreams, but here the principle is explicitly explained.</w:t>
      </w:r>
    </w:p>
    <w:p>
      <w:pPr>
        <w:pStyle w:val="Heading1"/>
      </w:pPr>
      <w:r>
        <w:t>JOSEPH’S NATIONAL POLICY — GENESIS 41:33–36</w:t>
      </w:r>
    </w:p>
    <w:p>
      <w:pPr>
        <w:pStyle w:val="Heading2"/>
      </w:pPr>
      <w:r>
        <w:t>Genesis 41:33–36 — interpretation becomes preparation</w:t>
      </w:r>
    </w:p>
    <w:p>
      <w:pPr/>
      <w:r>
        <w:rPr>
          <w:i w:val="0"/>
        </w:rPr>
        <w:t>Joseph advises Pharaoh to appoint a discerning and wise administrator, establish officers, take a fifth during the seven abundant years, and store food in the cities under Pharaoh’s authority. The fifth is a substantial reserve while leaving the majority for ordinary use. Revelation produces responsible action rather than fatalism.</w:t>
      </w:r>
    </w:p>
    <w:p>
      <w:pPr/>
      <w:r>
        <w:rPr>
          <w:i w:val="0"/>
        </w:rPr>
        <w:t>The stores are to become a national reserve so that the land “perish not through the famine.” Joseph’s wisdom is measured by preservation of life, not by abstract insight alone.</w:t>
      </w:r>
    </w:p>
    <w:p>
      <w:pPr>
        <w:pStyle w:val="Heading1"/>
      </w:pPr>
      <w:r>
        <w:t>JOSEPH APPOINTED OVER EGYPT — GENESIS 41:37–45</w:t>
      </w:r>
    </w:p>
    <w:p>
      <w:pPr>
        <w:pStyle w:val="Heading2"/>
      </w:pPr>
      <w:r>
        <w:t>Genesis 41:37–40 — “a man in whom the Spirit of God is”</w:t>
      </w:r>
    </w:p>
    <w:p>
      <w:pPr/>
      <w:r>
        <w:rPr>
          <w:i w:val="0"/>
        </w:rPr>
        <w:t>Pharaoh and his servants accept Joseph’s counsel. Pharaoh asks whether another man can be found “in whom the Spirit of God is,” and acknowledges that God has shown Joseph the matter. Joseph is placed over Pharaoh’s house and people; only the throne remains above him. The phrase “according unto thy word shall all my people be ruled” expresses submission to Joseph’s command; the Hebrew idiom is unusual and may literally involve the people “kissing” at his mouth, that is, rendering obedience.</w:t>
      </w:r>
    </w:p>
    <w:p>
      <w:pPr/>
      <w:r>
        <w:rPr>
          <w:i w:val="0"/>
        </w:rPr>
        <w:t>The Joseph/Christ parallel is strong at the structural level: humiliation is followed by delegated authority beneath the supreme ruler (compare Philippians 2:8–11; 1 Corinthians 15:27–28).</w:t>
      </w:r>
    </w:p>
    <w:p>
      <w:pPr>
        <w:pStyle w:val="Heading2"/>
      </w:pPr>
      <w:r>
        <w:t>Genesis 41:41–44 — ring, linen, chain and second chariot</w:t>
      </w:r>
    </w:p>
    <w:p>
      <w:pPr/>
      <w:r>
        <w:rPr>
          <w:i w:val="0"/>
        </w:rPr>
        <w:t>Pharaoh gives Joseph the signet ring, fine linen, a gold chain and the second chariot. These are public signs of delegated office and status. Pharaoh’s declaration that no man will lift hand or foot without Joseph expresses the breadth of the authority now vested in him.</w:t>
      </w:r>
    </w:p>
    <w:p>
      <w:pPr>
        <w:pStyle w:val="Heading2"/>
      </w:pPr>
      <w:r>
        <w:t>Genesis 41:43 — Abrek: an uncertain acclamation</w:t>
      </w:r>
    </w:p>
    <w:p>
      <w:pPr/>
      <w:r>
        <w:rPr>
          <w:i w:val="0"/>
        </w:rPr>
        <w:t>The cry rendered “Bow the knee” is the difficult word ’abrek. Ancient and modern proposals include an imperative connected with kneeling/bowing, a call of attention, or an Egyptian-derived acclamation. Mansfield’s “Tender Father” derivation from Hebrew ’ab, father, is attractive typologically but linguistically uncertain and should not be presented as the settled meaning.</w:t>
      </w:r>
    </w:p>
    <w:p>
      <w:pPr>
        <w:pStyle w:val="Heading2"/>
      </w:pPr>
      <w:r>
        <w:t>Genesis 41:45 — Zaphnath-paaneah, Asenath and On</w:t>
      </w:r>
    </w:p>
    <w:p>
      <w:pPr/>
      <w:r>
        <w:rPr>
          <w:i w:val="0"/>
        </w:rPr>
        <w:t>Pharaoh gives Joseph the Egyptian name Zaphnath-paaneah. Proposed meanings vary widely: older Jewish and Christian sources give “revealer of secrets” or “saviour of the world,” while Egyptological proposals include forms such as “the god speaks and he lives.” Because the etymology remains disputed, the safest conclusion is simply that Joseph receives an Egyptian court name appropriate to his new public status.</w:t>
      </w:r>
    </w:p>
    <w:p>
      <w:pPr/>
      <w:r>
        <w:rPr>
          <w:i w:val="0"/>
        </w:rPr>
        <w:t>Joseph also receives Asenath, daughter of Potiphera, priest of On. Asenath is an Egyptian name commonly associated with the goddess Neith. Potiphera is an Egyptian name related to Ra and need not be the Potiphar of Genesis 39. On is Egyptian Heliopolis (Iunu), a major cult centre of the sun-god Ra; Mansfield’s derivation of “On” from Hebrew “strength” is not the historical Egyptian place-name etymology.</w:t>
      </w:r>
    </w:p>
    <w:p>
      <w:pPr>
        <w:pStyle w:val="Heading1"/>
      </w:pPr>
      <w:r>
        <w:t>JOSEPH AGED THIRTY — GENESIS 41:46–49</w:t>
      </w:r>
    </w:p>
    <w:p>
      <w:pPr>
        <w:pStyle w:val="Heading2"/>
      </w:pPr>
      <w:r>
        <w:t>Genesis 41:46 — thirteen years from seventeen to thirty</w:t>
      </w:r>
    </w:p>
    <w:p>
      <w:pPr/>
      <w:r>
        <w:rPr>
          <w:i w:val="0"/>
        </w:rPr>
        <w:t>Joseph is thirty years old when he stands before Pharaoh. This securely gives thirteen years between Genesis 37:2 and his elevation. Later biblical service ages provide useful parallels — David begins to reign at thirty (2 Samuel 5:4), and Jesus is “about thirty” when his public ministry begins (Luke 3:23) — but Genesis does not say Joseph’s age is itself prophetic.</w:t>
      </w:r>
    </w:p>
    <w:p>
      <w:pPr>
        <w:pStyle w:val="Heading2"/>
      </w:pPr>
      <w:r>
        <w:t>Genesis 41:47–49 — abundance beyond counting</w:t>
      </w:r>
    </w:p>
    <w:p>
      <w:pPr/>
      <w:r>
        <w:rPr>
          <w:i w:val="0"/>
        </w:rPr>
        <w:t>During the seven years the land produces abundantly. Joseph gathers each region’s produce into its cities, creating distributed stores. The quantity becomes “as the sand of the sea” until counting is abandoned because the amount is beyond practical enumeration. The abundance is as real and extraordinary as the famine that will follow.</w:t>
      </w:r>
    </w:p>
    <w:p>
      <w:pPr>
        <w:pStyle w:val="Heading1"/>
      </w:pPr>
      <w:r>
        <w:t>MANASSEH AND EPHRAIM — GENESIS 41:50–52</w:t>
      </w:r>
    </w:p>
    <w:p>
      <w:pPr>
        <w:pStyle w:val="Heading2"/>
      </w:pPr>
      <w:r>
        <w:t>Genesis 41:50–51 — Manasseh: God has eased the dominating grief</w:t>
      </w:r>
    </w:p>
    <w:p>
      <w:pPr/>
      <w:r>
        <w:rPr>
          <w:i w:val="0"/>
        </w:rPr>
        <w:t>Before the famine, Asenath bears two sons. Joseph names the first Manasseh, connecting the name with nashah, to forget: “God ... hath made me forget all my toil, and all my father’s house.” Joseph has not literally erased his family from memory — subsequent chapters prove the opposite. The statement means that God has relieved the overwhelming pain of his former affliction by giving him a new household and vocation.</w:t>
      </w:r>
    </w:p>
    <w:p>
      <w:pPr>
        <w:pStyle w:val="Heading2"/>
      </w:pPr>
      <w:r>
        <w:t>Genesis 41:52 — Ephraim: fruitful in affliction</w:t>
      </w:r>
    </w:p>
    <w:p>
      <w:pPr/>
      <w:r>
        <w:rPr>
          <w:i w:val="0"/>
        </w:rPr>
        <w:t>The second son is Ephraim: “God hath caused me to be fruitful in the land of my affliction.” The name is associated with the Hebrew root for fruitfulness. Mansfield’s “double fruit” explanation reflects the dual-looking form of the name and later two-tribe history, but “fruitfulness” is the secure narrative wordplay. Joseph interprets success not as escape from an afflicted land but as fruitfulness produced by God within it.</w:t>
      </w:r>
    </w:p>
    <w:p>
      <w:pPr>
        <w:pStyle w:val="Heading1"/>
      </w:pPr>
      <w:r>
        <w:t>FAMINE AND BREAD — GENESIS 41:53–57</w:t>
      </w:r>
    </w:p>
    <w:p>
      <w:pPr>
        <w:pStyle w:val="Heading2"/>
      </w:pPr>
      <w:r>
        <w:t>Genesis 41:53–54 — the years change exactly as foretold</w:t>
      </w:r>
    </w:p>
    <w:p>
      <w:pPr/>
      <w:r>
        <w:rPr>
          <w:i w:val="0"/>
        </w:rPr>
        <w:t>The seven years of plenty end and the seven years of famine begin “according as Joseph had said.” Famine reaches the surrounding lands, while Egypt has bread because Joseph acted on the revelation during the years of abundance.</w:t>
      </w:r>
    </w:p>
    <w:p>
      <w:pPr>
        <w:pStyle w:val="Heading2"/>
      </w:pPr>
      <w:r>
        <w:t>Genesis 41:55 — “Go unto Joseph”</w:t>
      </w:r>
    </w:p>
    <w:p>
      <w:pPr/>
      <w:r>
        <w:rPr>
          <w:i w:val="0"/>
        </w:rPr>
        <w:t>When Egyptians cry to Pharaoh for bread, he answers, “Go unto Joseph; what he saith to you, do.” Joseph is the authorised administrator through whom Pharaoh’s provision is accessed. Mansfield’s Christological application is natural at the level of delegated saving provision, but the verse first describes Joseph’s actual governmental authority.</w:t>
      </w:r>
    </w:p>
    <w:p>
      <w:pPr>
        <w:pStyle w:val="Heading2"/>
      </w:pPr>
      <w:r>
        <w:t>Genesis 41:56–57 — the stores opened to the famine-stricken lands</w:t>
      </w:r>
    </w:p>
    <w:p>
      <w:pPr/>
      <w:r>
        <w:rPr>
          <w:i w:val="0"/>
        </w:rPr>
        <w:t>Joseph opens the stored supplies and sells grain to the Egyptians as the famine strengthens. The KJV’s “storehouses” is supplied by context rather than represented by a separate Hebrew noun in this clause. People from “all countries” come to Egypt to buy grain. The expression need not mean every nation on the globe; it naturally refers to the famine-affected surrounding lands, including Canaan, which brings Joseph’s brothers into the story in Genesis 42.</w:t>
      </w:r>
    </w:p>
    <w:p>
      <w:pPr>
        <w:pStyle w:val="Heading1"/>
      </w:pPr>
      <w:r>
        <w:t>PRINCIPAL THEMES</w:t>
      </w:r>
    </w:p>
    <w:p>
      <w:pPr>
        <w:ind w:left="259" w:hanging="202"/>
      </w:pPr>
      <w:r>
        <w:rPr>
          <w:b/>
        </w:rPr>
        <w:t xml:space="preserve">• </w:t>
      </w:r>
      <w:r>
        <w:t>Divine timing governs Joseph’s release: two years of apparent delay end at the exact moment Pharaoh needs him.</w:t>
      </w:r>
    </w:p>
    <w:p>
      <w:pPr>
        <w:ind w:left="259" w:hanging="202"/>
      </w:pPr>
      <w:r>
        <w:rPr>
          <w:b/>
        </w:rPr>
        <w:t xml:space="preserve">• </w:t>
      </w:r>
      <w:r>
        <w:t>Joseph refuses personal credit and attributes revelation to God.</w:t>
      </w:r>
    </w:p>
    <w:p>
      <w:pPr>
        <w:ind w:left="259" w:hanging="202"/>
      </w:pPr>
      <w:r>
        <w:rPr>
          <w:b/>
        </w:rPr>
        <w:t xml:space="preserve">• </w:t>
      </w:r>
      <w:r>
        <w:t>The doubled dream establishes both certainty and urgency.</w:t>
      </w:r>
    </w:p>
    <w:p>
      <w:pPr>
        <w:ind w:left="259" w:hanging="202"/>
      </w:pPr>
      <w:r>
        <w:rPr>
          <w:b/>
        </w:rPr>
        <w:t xml:space="preserve">• </w:t>
      </w:r>
      <w:r>
        <w:t>Divine revelation requires practical foresight and responsible administration.</w:t>
      </w:r>
    </w:p>
    <w:p>
      <w:pPr>
        <w:ind w:left="259" w:hanging="202"/>
      </w:pPr>
      <w:r>
        <w:rPr>
          <w:b/>
        </w:rPr>
        <w:t xml:space="preserve">• </w:t>
      </w:r>
      <w:r>
        <w:t>Joseph’s humiliation is followed by extraordinary delegated authority.</w:t>
      </w:r>
    </w:p>
    <w:p>
      <w:pPr>
        <w:ind w:left="259" w:hanging="202"/>
      </w:pPr>
      <w:r>
        <w:rPr>
          <w:b/>
        </w:rPr>
        <w:t xml:space="preserve">• </w:t>
      </w:r>
      <w:r>
        <w:t>Uncertain Egyptian names and acclamations should not be forced into one preferred theological etymology.</w:t>
      </w:r>
    </w:p>
    <w:p>
      <w:pPr>
        <w:ind w:left="259" w:hanging="202"/>
      </w:pPr>
      <w:r>
        <w:rPr>
          <w:b/>
        </w:rPr>
        <w:t xml:space="preserve">• </w:t>
      </w:r>
      <w:r>
        <w:t>Manasseh and Ephraim interpret Joseph’s experience as pain relieved and affliction made fruitful.</w:t>
      </w:r>
    </w:p>
    <w:p>
      <w:pPr>
        <w:ind w:left="259" w:hanging="202"/>
      </w:pPr>
      <w:r>
        <w:rPr>
          <w:b/>
        </w:rPr>
        <w:t xml:space="preserve">• </w:t>
      </w:r>
      <w:r>
        <w:t>The rejected brother becomes the authorised source of food for Egypt and surrounding lands.</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5"/>
              </w:rPr>
              <w:t>Gen. 41:1</w:t>
            </w:r>
          </w:p>
        </w:tc>
        <w:tc>
          <w:tcPr>
            <w:tcW w:type="dxa" w:w="3561"/>
            <w:vAlign w:val="top"/>
          </w:tcPr>
          <w:p>
            <w:pPr>
              <w:spacing w:after="0"/>
            </w:pPr>
            <w:r>
              <w:rPr>
                <w:rFonts w:ascii="Times New Roman" w:hAnsi="Times New Roman"/>
                <w:sz w:val="15"/>
              </w:rPr>
              <w:t>ye’or</w:t>
            </w:r>
          </w:p>
        </w:tc>
        <w:tc>
          <w:tcPr>
            <w:tcW w:type="dxa" w:w="3561"/>
            <w:vAlign w:val="top"/>
          </w:tcPr>
          <w:p>
            <w:pPr>
              <w:spacing w:after="0"/>
            </w:pPr>
            <w:r>
              <w:rPr>
                <w:rFonts w:ascii="Times New Roman" w:hAnsi="Times New Roman"/>
                <w:sz w:val="15"/>
              </w:rPr>
              <w:t>Egyptian loanword for the Nile/its channels.</w:t>
            </w:r>
          </w:p>
        </w:tc>
      </w:tr>
      <w:tr>
        <w:tc>
          <w:tcPr>
            <w:tcW w:type="dxa" w:w="3561"/>
            <w:vAlign w:val="top"/>
          </w:tcPr>
          <w:p>
            <w:pPr>
              <w:spacing w:after="0"/>
            </w:pPr>
            <w:r>
              <w:rPr>
                <w:rFonts w:ascii="Times New Roman" w:hAnsi="Times New Roman"/>
                <w:sz w:val="15"/>
              </w:rPr>
              <w:t>Gen. 41:1,46</w:t>
            </w:r>
          </w:p>
        </w:tc>
        <w:tc>
          <w:tcPr>
            <w:tcW w:type="dxa" w:w="3561"/>
            <w:vAlign w:val="top"/>
          </w:tcPr>
          <w:p>
            <w:pPr>
              <w:spacing w:after="0"/>
            </w:pPr>
            <w:r>
              <w:rPr>
                <w:rFonts w:ascii="Times New Roman" w:hAnsi="Times New Roman"/>
                <w:sz w:val="15"/>
              </w:rPr>
              <w:t>17 → 30 = 13 years</w:t>
            </w:r>
          </w:p>
        </w:tc>
        <w:tc>
          <w:tcPr>
            <w:tcW w:type="dxa" w:w="3561"/>
            <w:vAlign w:val="top"/>
          </w:tcPr>
          <w:p>
            <w:pPr>
              <w:spacing w:after="0"/>
            </w:pPr>
            <w:r>
              <w:rPr>
                <w:rFonts w:ascii="Times New Roman" w:hAnsi="Times New Roman"/>
                <w:sz w:val="15"/>
              </w:rPr>
              <w:t>Secure total captivity/exile interval; 10 years + 3 years subdivision remains unproved.</w:t>
            </w:r>
          </w:p>
        </w:tc>
      </w:tr>
      <w:tr>
        <w:tc>
          <w:tcPr>
            <w:tcW w:type="dxa" w:w="3561"/>
            <w:vAlign w:val="top"/>
          </w:tcPr>
          <w:p>
            <w:pPr>
              <w:spacing w:after="0"/>
            </w:pPr>
            <w:r>
              <w:rPr>
                <w:rFonts w:ascii="Times New Roman" w:hAnsi="Times New Roman"/>
                <w:sz w:val="15"/>
              </w:rPr>
              <w:t>Gen. 41:2</w:t>
            </w:r>
          </w:p>
        </w:tc>
        <w:tc>
          <w:tcPr>
            <w:tcW w:type="dxa" w:w="3561"/>
            <w:vAlign w:val="top"/>
          </w:tcPr>
          <w:p>
            <w:pPr>
              <w:spacing w:after="0"/>
            </w:pPr>
            <w:r>
              <w:rPr>
                <w:rFonts w:ascii="Times New Roman" w:hAnsi="Times New Roman"/>
                <w:sz w:val="15"/>
              </w:rPr>
              <w:t>achu</w:t>
            </w:r>
          </w:p>
        </w:tc>
        <w:tc>
          <w:tcPr>
            <w:tcW w:type="dxa" w:w="3561"/>
            <w:vAlign w:val="top"/>
          </w:tcPr>
          <w:p>
            <w:pPr>
              <w:spacing w:after="0"/>
            </w:pPr>
            <w:r>
              <w:rPr>
                <w:rFonts w:ascii="Times New Roman" w:hAnsi="Times New Roman"/>
                <w:sz w:val="15"/>
              </w:rPr>
              <w:t>Marsh/reed grass by the Nile; KJV “meadow” is broader.</w:t>
            </w:r>
          </w:p>
        </w:tc>
      </w:tr>
      <w:tr>
        <w:tc>
          <w:tcPr>
            <w:tcW w:type="dxa" w:w="3561"/>
            <w:vAlign w:val="top"/>
          </w:tcPr>
          <w:p>
            <w:pPr>
              <w:spacing w:after="0"/>
            </w:pPr>
            <w:r>
              <w:rPr>
                <w:rFonts w:ascii="Times New Roman" w:hAnsi="Times New Roman"/>
                <w:sz w:val="15"/>
              </w:rPr>
              <w:t>Gen. 41:8</w:t>
            </w:r>
          </w:p>
        </w:tc>
        <w:tc>
          <w:tcPr>
            <w:tcW w:type="dxa" w:w="3561"/>
            <w:vAlign w:val="top"/>
          </w:tcPr>
          <w:p>
            <w:pPr>
              <w:spacing w:after="0"/>
            </w:pPr>
            <w:r>
              <w:rPr>
                <w:rFonts w:ascii="Times New Roman" w:hAnsi="Times New Roman"/>
                <w:sz w:val="15"/>
              </w:rPr>
              <w:t>chartummim</w:t>
            </w:r>
          </w:p>
        </w:tc>
        <w:tc>
          <w:tcPr>
            <w:tcW w:type="dxa" w:w="3561"/>
            <w:vAlign w:val="top"/>
          </w:tcPr>
          <w:p>
            <w:pPr>
              <w:spacing w:after="0"/>
            </w:pPr>
            <w:r>
              <w:rPr>
                <w:rFonts w:ascii="Times New Roman" w:hAnsi="Times New Roman"/>
                <w:sz w:val="15"/>
              </w:rPr>
              <w:t>Egyptian magician/scribal-priestly experts; detailed class structure not securely recoverable.</w:t>
            </w:r>
          </w:p>
        </w:tc>
      </w:tr>
      <w:tr>
        <w:tc>
          <w:tcPr>
            <w:tcW w:type="dxa" w:w="3561"/>
            <w:vAlign w:val="top"/>
          </w:tcPr>
          <w:p>
            <w:pPr>
              <w:spacing w:after="0"/>
            </w:pPr>
            <w:r>
              <w:rPr>
                <w:rFonts w:ascii="Times New Roman" w:hAnsi="Times New Roman"/>
                <w:sz w:val="15"/>
              </w:rPr>
              <w:t>Gen. 41:14</w:t>
            </w:r>
          </w:p>
        </w:tc>
        <w:tc>
          <w:tcPr>
            <w:tcW w:type="dxa" w:w="3561"/>
            <w:vAlign w:val="top"/>
          </w:tcPr>
          <w:p>
            <w:pPr>
              <w:spacing w:after="0"/>
            </w:pPr>
            <w:r>
              <w:rPr>
                <w:rFonts w:ascii="Times New Roman" w:hAnsi="Times New Roman"/>
                <w:sz w:val="15"/>
              </w:rPr>
              <w:t>bor; Psa. 105:17–22</w:t>
            </w:r>
          </w:p>
        </w:tc>
        <w:tc>
          <w:tcPr>
            <w:tcW w:type="dxa" w:w="3561"/>
            <w:vAlign w:val="top"/>
          </w:tcPr>
          <w:p>
            <w:pPr>
              <w:spacing w:after="0"/>
            </w:pPr>
            <w:r>
              <w:rPr>
                <w:rFonts w:ascii="Times New Roman" w:hAnsi="Times New Roman"/>
                <w:sz w:val="15"/>
              </w:rPr>
              <w:t>Pit/dungeon; Psalm confirms fetters, testing, release and elevation.</w:t>
            </w:r>
          </w:p>
        </w:tc>
      </w:tr>
      <w:tr>
        <w:tc>
          <w:tcPr>
            <w:tcW w:type="dxa" w:w="3561"/>
            <w:vAlign w:val="top"/>
          </w:tcPr>
          <w:p>
            <w:pPr>
              <w:spacing w:after="0"/>
            </w:pPr>
            <w:r>
              <w:rPr>
                <w:rFonts w:ascii="Times New Roman" w:hAnsi="Times New Roman"/>
                <w:sz w:val="15"/>
              </w:rPr>
              <w:t>Gen. 41:16</w:t>
            </w:r>
          </w:p>
        </w:tc>
        <w:tc>
          <w:tcPr>
            <w:tcW w:type="dxa" w:w="3561"/>
            <w:vAlign w:val="top"/>
          </w:tcPr>
          <w:p>
            <w:pPr>
              <w:spacing w:after="0"/>
            </w:pPr>
            <w:r>
              <w:rPr>
                <w:rFonts w:ascii="Times New Roman" w:hAnsi="Times New Roman"/>
                <w:sz w:val="15"/>
              </w:rPr>
              <w:t>bil‘adai</w:t>
            </w:r>
          </w:p>
        </w:tc>
        <w:tc>
          <w:tcPr>
            <w:tcW w:type="dxa" w:w="3561"/>
            <w:vAlign w:val="top"/>
          </w:tcPr>
          <w:p>
            <w:pPr>
              <w:spacing w:after="0"/>
            </w:pPr>
            <w:r>
              <w:rPr>
                <w:rFonts w:ascii="Times New Roman" w:hAnsi="Times New Roman"/>
                <w:sz w:val="15"/>
              </w:rPr>
              <w:t>“Not in me / apart from me”; Joseph explicitly rejects personal credit.</w:t>
            </w:r>
          </w:p>
        </w:tc>
      </w:tr>
      <w:tr>
        <w:tc>
          <w:tcPr>
            <w:tcW w:type="dxa" w:w="3561"/>
            <w:vAlign w:val="top"/>
          </w:tcPr>
          <w:p>
            <w:pPr>
              <w:spacing w:after="0"/>
            </w:pPr>
            <w:r>
              <w:rPr>
                <w:rFonts w:ascii="Times New Roman" w:hAnsi="Times New Roman"/>
                <w:sz w:val="15"/>
              </w:rPr>
              <w:t>Gen. 41:25–28</w:t>
            </w:r>
          </w:p>
        </w:tc>
        <w:tc>
          <w:tcPr>
            <w:tcW w:type="dxa" w:w="3561"/>
            <w:vAlign w:val="top"/>
          </w:tcPr>
          <w:p>
            <w:pPr>
              <w:spacing w:after="0"/>
            </w:pPr>
            <w:r>
              <w:rPr>
                <w:rFonts w:ascii="Times New Roman" w:hAnsi="Times New Roman"/>
                <w:sz w:val="15"/>
              </w:rPr>
              <w:t>God is the revealer</w:t>
            </w:r>
          </w:p>
        </w:tc>
        <w:tc>
          <w:tcPr>
            <w:tcW w:type="dxa" w:w="3561"/>
            <w:vAlign w:val="top"/>
          </w:tcPr>
          <w:p>
            <w:pPr>
              <w:spacing w:after="0"/>
            </w:pPr>
            <w:r>
              <w:rPr>
                <w:rFonts w:ascii="Times New Roman" w:hAnsi="Times New Roman"/>
                <w:sz w:val="15"/>
              </w:rPr>
              <w:t>Dreams are one Divine message, not independent occult symbols.</w:t>
            </w:r>
          </w:p>
        </w:tc>
      </w:tr>
      <w:tr>
        <w:tc>
          <w:tcPr>
            <w:tcW w:type="dxa" w:w="3561"/>
            <w:vAlign w:val="top"/>
          </w:tcPr>
          <w:p>
            <w:pPr>
              <w:spacing w:after="0"/>
            </w:pPr>
            <w:r>
              <w:rPr>
                <w:rFonts w:ascii="Times New Roman" w:hAnsi="Times New Roman"/>
                <w:sz w:val="15"/>
              </w:rPr>
              <w:t>Gen. 41:29–31</w:t>
            </w:r>
          </w:p>
        </w:tc>
        <w:tc>
          <w:tcPr>
            <w:tcW w:type="dxa" w:w="3561"/>
            <w:vAlign w:val="top"/>
          </w:tcPr>
          <w:p>
            <w:pPr>
              <w:spacing w:after="0"/>
            </w:pPr>
            <w:r>
              <w:rPr>
                <w:rFonts w:ascii="Times New Roman" w:hAnsi="Times New Roman"/>
                <w:sz w:val="15"/>
              </w:rPr>
              <w:t>Famine Stela</w:t>
            </w:r>
          </w:p>
        </w:tc>
        <w:tc>
          <w:tcPr>
            <w:tcW w:type="dxa" w:w="3561"/>
            <w:vAlign w:val="top"/>
          </w:tcPr>
          <w:p>
            <w:pPr>
              <w:spacing w:after="0"/>
            </w:pPr>
            <w:r>
              <w:rPr>
                <w:rFonts w:ascii="Times New Roman" w:hAnsi="Times New Roman"/>
                <w:sz w:val="15"/>
              </w:rPr>
              <w:t>Surviving Sehel inscription is much later; not contemporary evidence from Joseph’s period.</w:t>
            </w:r>
          </w:p>
        </w:tc>
      </w:tr>
      <w:tr>
        <w:tc>
          <w:tcPr>
            <w:tcW w:type="dxa" w:w="3561"/>
            <w:vAlign w:val="top"/>
          </w:tcPr>
          <w:p>
            <w:pPr>
              <w:spacing w:after="0"/>
            </w:pPr>
            <w:r>
              <w:rPr>
                <w:rFonts w:ascii="Times New Roman" w:hAnsi="Times New Roman"/>
                <w:sz w:val="15"/>
              </w:rPr>
              <w:t>Gen. 41:32</w:t>
            </w:r>
          </w:p>
        </w:tc>
        <w:tc>
          <w:tcPr>
            <w:tcW w:type="dxa" w:w="3561"/>
            <w:vAlign w:val="top"/>
          </w:tcPr>
          <w:p>
            <w:pPr>
              <w:spacing w:after="0"/>
            </w:pPr>
            <w:r>
              <w:rPr>
                <w:rFonts w:ascii="Times New Roman" w:hAnsi="Times New Roman"/>
                <w:sz w:val="15"/>
              </w:rPr>
              <w:t>doubled dream</w:t>
            </w:r>
          </w:p>
        </w:tc>
        <w:tc>
          <w:tcPr>
            <w:tcW w:type="dxa" w:w="3561"/>
            <w:vAlign w:val="top"/>
          </w:tcPr>
          <w:p>
            <w:pPr>
              <w:spacing w:after="0"/>
            </w:pPr>
            <w:r>
              <w:rPr>
                <w:rFonts w:ascii="Times New Roman" w:hAnsi="Times New Roman"/>
                <w:sz w:val="15"/>
              </w:rPr>
              <w:t>Text explicitly says repetition establishes certainty and imminence.</w:t>
            </w:r>
          </w:p>
        </w:tc>
      </w:tr>
      <w:tr>
        <w:tc>
          <w:tcPr>
            <w:tcW w:type="dxa" w:w="3561"/>
            <w:vAlign w:val="top"/>
          </w:tcPr>
          <w:p>
            <w:pPr>
              <w:spacing w:after="0"/>
            </w:pPr>
            <w:r>
              <w:rPr>
                <w:rFonts w:ascii="Times New Roman" w:hAnsi="Times New Roman"/>
                <w:sz w:val="15"/>
              </w:rPr>
              <w:t>Gen. 41:34</w:t>
            </w:r>
          </w:p>
        </w:tc>
        <w:tc>
          <w:tcPr>
            <w:tcW w:type="dxa" w:w="3561"/>
            <w:vAlign w:val="top"/>
          </w:tcPr>
          <w:p>
            <w:pPr>
              <w:spacing w:after="0"/>
            </w:pPr>
            <w:r>
              <w:rPr>
                <w:rFonts w:ascii="Times New Roman" w:hAnsi="Times New Roman"/>
                <w:sz w:val="15"/>
              </w:rPr>
              <w:t>one fifth</w:t>
            </w:r>
          </w:p>
        </w:tc>
        <w:tc>
          <w:tcPr>
            <w:tcW w:type="dxa" w:w="3561"/>
            <w:vAlign w:val="top"/>
          </w:tcPr>
          <w:p>
            <w:pPr>
              <w:spacing w:after="0"/>
            </w:pPr>
            <w:r>
              <w:rPr>
                <w:rFonts w:ascii="Times New Roman" w:hAnsi="Times New Roman"/>
                <w:sz w:val="15"/>
              </w:rPr>
              <w:t>Joseph proposes taking 20% during the years of abundance.</w:t>
            </w:r>
          </w:p>
        </w:tc>
      </w:tr>
      <w:tr>
        <w:tc>
          <w:tcPr>
            <w:tcW w:type="dxa" w:w="3561"/>
            <w:vAlign w:val="top"/>
          </w:tcPr>
          <w:p>
            <w:pPr>
              <w:spacing w:after="0"/>
            </w:pPr>
            <w:r>
              <w:rPr>
                <w:rFonts w:ascii="Times New Roman" w:hAnsi="Times New Roman"/>
                <w:sz w:val="15"/>
              </w:rPr>
              <w:t>Gen. 41:38</w:t>
            </w:r>
          </w:p>
        </w:tc>
        <w:tc>
          <w:tcPr>
            <w:tcW w:type="dxa" w:w="3561"/>
            <w:vAlign w:val="top"/>
          </w:tcPr>
          <w:p>
            <w:pPr>
              <w:spacing w:after="0"/>
            </w:pPr>
            <w:r>
              <w:rPr>
                <w:rFonts w:ascii="Times New Roman" w:hAnsi="Times New Roman"/>
                <w:sz w:val="15"/>
              </w:rPr>
              <w:t>Spirit of God</w:t>
            </w:r>
          </w:p>
        </w:tc>
        <w:tc>
          <w:tcPr>
            <w:tcW w:type="dxa" w:w="3561"/>
            <w:vAlign w:val="top"/>
          </w:tcPr>
          <w:p>
            <w:pPr>
              <w:spacing w:after="0"/>
            </w:pPr>
            <w:r>
              <w:rPr>
                <w:rFonts w:ascii="Times New Roman" w:hAnsi="Times New Roman"/>
                <w:sz w:val="15"/>
              </w:rPr>
              <w:t>Pharaoh explicitly recognises Joseph’s God-given wisdom.</w:t>
            </w:r>
          </w:p>
        </w:tc>
      </w:tr>
      <w:tr>
        <w:tc>
          <w:tcPr>
            <w:tcW w:type="dxa" w:w="3561"/>
            <w:vAlign w:val="top"/>
          </w:tcPr>
          <w:p>
            <w:pPr>
              <w:spacing w:after="0"/>
            </w:pPr>
            <w:r>
              <w:rPr>
                <w:rFonts w:ascii="Times New Roman" w:hAnsi="Times New Roman"/>
                <w:sz w:val="15"/>
              </w:rPr>
              <w:t>Gen. 41:40</w:t>
            </w:r>
          </w:p>
        </w:tc>
        <w:tc>
          <w:tcPr>
            <w:tcW w:type="dxa" w:w="3561"/>
            <w:vAlign w:val="top"/>
          </w:tcPr>
          <w:p>
            <w:pPr>
              <w:spacing w:after="0"/>
            </w:pPr>
            <w:r>
              <w:rPr>
                <w:rFonts w:ascii="Times New Roman" w:hAnsi="Times New Roman"/>
                <w:sz w:val="15"/>
              </w:rPr>
              <w:t>people submit at Joseph’s word</w:t>
            </w:r>
          </w:p>
        </w:tc>
        <w:tc>
          <w:tcPr>
            <w:tcW w:type="dxa" w:w="3561"/>
            <w:vAlign w:val="top"/>
          </w:tcPr>
          <w:p>
            <w:pPr>
              <w:spacing w:after="0"/>
            </w:pPr>
            <w:r>
              <w:rPr>
                <w:rFonts w:ascii="Times New Roman" w:hAnsi="Times New Roman"/>
                <w:sz w:val="15"/>
              </w:rPr>
              <w:t>Unusual Hebrew idiom; KJV “ruled” conveys practical submission.</w:t>
            </w:r>
          </w:p>
        </w:tc>
      </w:tr>
      <w:tr>
        <w:tc>
          <w:tcPr>
            <w:tcW w:type="dxa" w:w="3561"/>
            <w:vAlign w:val="top"/>
          </w:tcPr>
          <w:p>
            <w:pPr>
              <w:spacing w:after="0"/>
            </w:pPr>
            <w:r>
              <w:rPr>
                <w:rFonts w:ascii="Times New Roman" w:hAnsi="Times New Roman"/>
                <w:sz w:val="15"/>
              </w:rPr>
              <w:t>Gen. 41:43</w:t>
            </w:r>
          </w:p>
        </w:tc>
        <w:tc>
          <w:tcPr>
            <w:tcW w:type="dxa" w:w="3561"/>
            <w:vAlign w:val="top"/>
          </w:tcPr>
          <w:p>
            <w:pPr>
              <w:spacing w:after="0"/>
            </w:pPr>
            <w:r>
              <w:rPr>
                <w:rFonts w:ascii="Times New Roman" w:hAnsi="Times New Roman"/>
                <w:sz w:val="15"/>
              </w:rPr>
              <w:t>’abrek</w:t>
            </w:r>
          </w:p>
        </w:tc>
        <w:tc>
          <w:tcPr>
            <w:tcW w:type="dxa" w:w="3561"/>
            <w:vAlign w:val="top"/>
          </w:tcPr>
          <w:p>
            <w:pPr>
              <w:spacing w:after="0"/>
            </w:pPr>
            <w:r>
              <w:rPr>
                <w:rFonts w:ascii="Times New Roman" w:hAnsi="Times New Roman"/>
                <w:sz w:val="15"/>
              </w:rPr>
              <w:t>Meaning disputed; “Tender Father” rejected as a certain etymology.</w:t>
            </w:r>
          </w:p>
        </w:tc>
      </w:tr>
      <w:tr>
        <w:tc>
          <w:tcPr>
            <w:tcW w:type="dxa" w:w="3561"/>
            <w:vAlign w:val="top"/>
          </w:tcPr>
          <w:p>
            <w:pPr>
              <w:spacing w:after="0"/>
            </w:pPr>
            <w:r>
              <w:rPr>
                <w:rFonts w:ascii="Times New Roman" w:hAnsi="Times New Roman"/>
                <w:sz w:val="15"/>
              </w:rPr>
              <w:t>Gen. 41:45</w:t>
            </w:r>
          </w:p>
        </w:tc>
        <w:tc>
          <w:tcPr>
            <w:tcW w:type="dxa" w:w="3561"/>
            <w:vAlign w:val="top"/>
          </w:tcPr>
          <w:p>
            <w:pPr>
              <w:spacing w:after="0"/>
            </w:pPr>
            <w:r>
              <w:rPr>
                <w:rFonts w:ascii="Times New Roman" w:hAnsi="Times New Roman"/>
                <w:sz w:val="15"/>
              </w:rPr>
              <w:t>Zaphnath-paaneah</w:t>
            </w:r>
          </w:p>
        </w:tc>
        <w:tc>
          <w:tcPr>
            <w:tcW w:type="dxa" w:w="3561"/>
            <w:vAlign w:val="top"/>
          </w:tcPr>
          <w:p>
            <w:pPr>
              <w:spacing w:after="0"/>
            </w:pPr>
            <w:r>
              <w:rPr>
                <w:rFonts w:ascii="Times New Roman" w:hAnsi="Times New Roman"/>
                <w:sz w:val="15"/>
              </w:rPr>
              <w:t>Multiple incompatible derivations exist; no single meaning asserted.</w:t>
            </w:r>
          </w:p>
        </w:tc>
      </w:tr>
      <w:tr>
        <w:tc>
          <w:tcPr>
            <w:tcW w:type="dxa" w:w="3561"/>
            <w:vAlign w:val="top"/>
          </w:tcPr>
          <w:p>
            <w:pPr>
              <w:spacing w:after="0"/>
            </w:pPr>
            <w:r>
              <w:rPr>
                <w:rFonts w:ascii="Times New Roman" w:hAnsi="Times New Roman"/>
                <w:sz w:val="15"/>
              </w:rPr>
              <w:t>Gen. 41:45</w:t>
            </w:r>
          </w:p>
        </w:tc>
        <w:tc>
          <w:tcPr>
            <w:tcW w:type="dxa" w:w="3561"/>
            <w:vAlign w:val="top"/>
          </w:tcPr>
          <w:p>
            <w:pPr>
              <w:spacing w:after="0"/>
            </w:pPr>
            <w:r>
              <w:rPr>
                <w:rFonts w:ascii="Times New Roman" w:hAnsi="Times New Roman"/>
                <w:sz w:val="15"/>
              </w:rPr>
              <w:t>On = Heliopolis/Iunu</w:t>
            </w:r>
          </w:p>
        </w:tc>
        <w:tc>
          <w:tcPr>
            <w:tcW w:type="dxa" w:w="3561"/>
            <w:vAlign w:val="top"/>
          </w:tcPr>
          <w:p>
            <w:pPr>
              <w:spacing w:after="0"/>
            </w:pPr>
            <w:r>
              <w:rPr>
                <w:rFonts w:ascii="Times New Roman" w:hAnsi="Times New Roman"/>
                <w:sz w:val="15"/>
              </w:rPr>
              <w:t>Corrects Mansfield’s Hebrew “strength” derivation of the Egyptian place-name.</w:t>
            </w:r>
          </w:p>
        </w:tc>
      </w:tr>
      <w:tr>
        <w:tc>
          <w:tcPr>
            <w:tcW w:type="dxa" w:w="3561"/>
            <w:vAlign w:val="top"/>
          </w:tcPr>
          <w:p>
            <w:pPr>
              <w:spacing w:after="0"/>
            </w:pPr>
            <w:r>
              <w:rPr>
                <w:rFonts w:ascii="Times New Roman" w:hAnsi="Times New Roman"/>
                <w:sz w:val="15"/>
              </w:rPr>
              <w:t>Gen. 41:51</w:t>
            </w:r>
          </w:p>
        </w:tc>
        <w:tc>
          <w:tcPr>
            <w:tcW w:type="dxa" w:w="3561"/>
            <w:vAlign w:val="top"/>
          </w:tcPr>
          <w:p>
            <w:pPr>
              <w:spacing w:after="0"/>
            </w:pPr>
            <w:r>
              <w:rPr>
                <w:rFonts w:ascii="Times New Roman" w:hAnsi="Times New Roman"/>
                <w:sz w:val="15"/>
              </w:rPr>
              <w:t>Manasseh / nashah</w:t>
            </w:r>
          </w:p>
        </w:tc>
        <w:tc>
          <w:tcPr>
            <w:tcW w:type="dxa" w:w="3561"/>
            <w:vAlign w:val="top"/>
          </w:tcPr>
          <w:p>
            <w:pPr>
              <w:spacing w:after="0"/>
            </w:pPr>
            <w:r>
              <w:rPr>
                <w:rFonts w:ascii="Times New Roman" w:hAnsi="Times New Roman"/>
                <w:sz w:val="15"/>
              </w:rPr>
              <w:t>Causing to forget/relieve memory of toil; not literal amnesia about family.</w:t>
            </w:r>
          </w:p>
        </w:tc>
      </w:tr>
      <w:tr>
        <w:tc>
          <w:tcPr>
            <w:tcW w:type="dxa" w:w="3561"/>
            <w:vAlign w:val="top"/>
          </w:tcPr>
          <w:p>
            <w:pPr>
              <w:spacing w:after="0"/>
            </w:pPr>
            <w:r>
              <w:rPr>
                <w:rFonts w:ascii="Times New Roman" w:hAnsi="Times New Roman"/>
                <w:sz w:val="15"/>
              </w:rPr>
              <w:t>Gen. 41:52</w:t>
            </w:r>
          </w:p>
        </w:tc>
        <w:tc>
          <w:tcPr>
            <w:tcW w:type="dxa" w:w="3561"/>
            <w:vAlign w:val="top"/>
          </w:tcPr>
          <w:p>
            <w:pPr>
              <w:spacing w:after="0"/>
            </w:pPr>
            <w:r>
              <w:rPr>
                <w:rFonts w:ascii="Times New Roman" w:hAnsi="Times New Roman"/>
                <w:sz w:val="15"/>
              </w:rPr>
              <w:t>Ephraim / fruitfulness</w:t>
            </w:r>
          </w:p>
        </w:tc>
        <w:tc>
          <w:tcPr>
            <w:tcW w:type="dxa" w:w="3561"/>
            <w:vAlign w:val="top"/>
          </w:tcPr>
          <w:p>
            <w:pPr>
              <w:spacing w:after="0"/>
            </w:pPr>
            <w:r>
              <w:rPr>
                <w:rFonts w:ascii="Times New Roman" w:hAnsi="Times New Roman"/>
                <w:sz w:val="15"/>
              </w:rPr>
              <w:t>Fruitfulness is secure; “double fruit” kept secondary.</w:t>
            </w:r>
          </w:p>
        </w:tc>
      </w:tr>
      <w:tr>
        <w:tc>
          <w:tcPr>
            <w:tcW w:type="dxa" w:w="3561"/>
            <w:vAlign w:val="top"/>
          </w:tcPr>
          <w:p>
            <w:pPr>
              <w:spacing w:after="0"/>
            </w:pPr>
            <w:r>
              <w:rPr>
                <w:rFonts w:ascii="Times New Roman" w:hAnsi="Times New Roman"/>
                <w:sz w:val="15"/>
              </w:rPr>
              <w:t>Gen. 41:56–57</w:t>
            </w:r>
          </w:p>
        </w:tc>
        <w:tc>
          <w:tcPr>
            <w:tcW w:type="dxa" w:w="3561"/>
            <w:vAlign w:val="top"/>
          </w:tcPr>
          <w:p>
            <w:pPr>
              <w:spacing w:after="0"/>
            </w:pPr>
            <w:r>
              <w:rPr>
                <w:rFonts w:ascii="Times New Roman" w:hAnsi="Times New Roman"/>
                <w:sz w:val="15"/>
              </w:rPr>
              <w:t>all lands / storehouses</w:t>
            </w:r>
          </w:p>
        </w:tc>
        <w:tc>
          <w:tcPr>
            <w:tcW w:type="dxa" w:w="3561"/>
            <w:vAlign w:val="top"/>
          </w:tcPr>
          <w:p>
            <w:pPr>
              <w:spacing w:after="0"/>
            </w:pPr>
            <w:r>
              <w:rPr>
                <w:rFonts w:ascii="Times New Roman" w:hAnsi="Times New Roman"/>
                <w:sz w:val="15"/>
              </w:rPr>
              <w:t>Regional universal language; KJV supplies “storehouses” from context.</w:t>
            </w:r>
          </w:p>
        </w:tc>
      </w:tr>
    </w:tbl>
    <w:p>
      <w:pPr>
        <w:pStyle w:val="Heading1"/>
      </w:pPr>
      <w:r>
        <w:t>RESIDUAL UNCERTAINTIES</w:t>
      </w:r>
    </w:p>
    <w:p>
      <w:pPr/>
      <w:r>
        <w:rPr>
          <w:i w:val="0"/>
        </w:rPr>
        <w:t>The exact historical dynasty of Joseph’s Pharaoh is not identified in Genesis. The detailed structure and etymology of the chartummim, the meaning of ’abrek, and the derivation of Zaphnath-paaneah remain uncertain. The surviving Famine Stela is not contemporary evidence for Joseph’s famine. Genesis does not specify exactly how Joseph’s thirteen pre-elevation years were divided between Potiphar’s household and prison. Several detailed Joseph/Christ applications remain Mansfield’s typological exposition rather than lexical readings.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41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6"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4" w:after="20"/>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2" w:after="20"/>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