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42</w:t>
      </w:r>
    </w:p>
    <w:p>
      <w:pPr>
        <w:pStyle w:val="Subtitle"/>
      </w:pPr>
      <w:r>
        <w:t>THE BRETHREN BOW • JOSEPH UNRECOGNISED • CONSCIENCE AWAKENED • SIMEON DETAINED • MONEY RESTORED • “ALL THESE THINGS ARE AGAINST ME”</w:t>
      </w:r>
    </w:p>
    <w:p>
      <w:pPr/>
      <w:r>
        <w:rPr>
          <w:i/>
        </w:rPr>
        <w:t>H. P. Mansfield Bible notes — checked and arranged in verse-by-verse Expositor style</w:t>
      </w:r>
    </w:p>
    <w:p>
      <w:pPr/>
      <w:r>
        <w:rPr>
          <w:i w:val="0"/>
        </w:rPr>
        <w:t>Source: HPB 02-Gen42-Lev11.pdf, principally Genesis 42 photographed pages 1–3</w:t>
      </w:r>
    </w:p>
    <w:p>
      <w:pPr>
        <w:pStyle w:val="Heading1"/>
      </w:pPr>
      <w:r>
        <w:t>CHAPTER OVERVIEW</w:t>
      </w:r>
    </w:p>
    <w:p>
      <w:pPr/>
      <w:r>
        <w:rPr>
          <w:i w:val="0"/>
        </w:rPr>
        <w:t>Genesis 42 begins Joseph’s deliberate testing of his brothers. He does not reveal himself at once, because reconciliation requires more than emotional reunion: the men who once ignored Joseph’s anguish must face their guilt and show whether they will now protect another favoured son, Benjamin. Joseph’s severity is therefore controlled and purposeful, while repeated tears show that compassion remains beneath it.</w:t>
      </w:r>
    </w:p>
    <w:p>
      <w:pPr/>
      <w:r>
        <w:rPr>
          <w:i w:val="0"/>
        </w:rPr>
        <w:t>The chapter also begins the visible fulfilment of Joseph’s dreams. His brothers bow before the Egyptian governor whose true identity they do not know. Their own words, “one is not,” are spoken in Joseph’s hearing, and the providence they interpret as threatening is in fact moving toward restoration.</w:t>
      </w:r>
    </w:p>
    <w:p>
      <w:pPr>
        <w:pStyle w:val="Heading1"/>
      </w:pPr>
      <w:r>
        <w:t>FAMINE DRIVES THE BROTHERS TO EGYPT — GENESIS 42:1–5</w:t>
      </w:r>
    </w:p>
    <w:p>
      <w:pPr>
        <w:pStyle w:val="Heading2"/>
      </w:pPr>
      <w:r>
        <w:t>Genesis 42:1–2 — “that we may live, and not die”</w:t>
      </w:r>
    </w:p>
    <w:p>
      <w:pPr/>
      <w:r>
        <w:rPr>
          <w:i w:val="0"/>
        </w:rPr>
        <w:t>Jacob learns that grain is available in Egypt and challenges his sons’ helplessness: “Why do ye look one upon another?” He sends them to buy food so that the family may live. The famine becomes the providential pressure driving the household toward the brother they rejected.</w:t>
      </w:r>
    </w:p>
    <w:p>
      <w:pPr>
        <w:pStyle w:val="Heading2"/>
      </w:pPr>
      <w:r>
        <w:t>Genesis 42:3–5 — ten go; Benjamin remains</w:t>
      </w:r>
    </w:p>
    <w:p>
      <w:pPr/>
      <w:r>
        <w:rPr>
          <w:i w:val="0"/>
        </w:rPr>
        <w:t>Ten brothers travel to Egypt. Benjamin remains with Jacob because Jacob fears harm may befall him. After Joseph’s apparent death, Benjamin now bears the special emotional weight of being Rachel’s remaining son. The brothers join the wider movement of famine-stricken peoples seeking grain from Egypt.</w:t>
      </w:r>
    </w:p>
    <w:p>
      <w:pPr>
        <w:pStyle w:val="Heading1"/>
      </w:pPr>
      <w:r>
        <w:t>THE DREAMS BEGIN TO BE FULFILLED — GENESIS 42:6–9</w:t>
      </w:r>
    </w:p>
    <w:p>
      <w:pPr>
        <w:pStyle w:val="Heading2"/>
      </w:pPr>
      <w:r>
        <w:t>Genesis 42:6 — the brothers bow to Joseph</w:t>
      </w:r>
    </w:p>
    <w:p>
      <w:pPr/>
      <w:r>
        <w:rPr>
          <w:i w:val="0"/>
        </w:rPr>
        <w:t>Joseph is the shallit, ruler/governor over the land, supervising the sale of grain. His brothers bow with their faces to the earth. Genesis 37:7–10 is now beginning to be fulfilled a little over twenty years after the dreams were given. Joseph’s long waiting has not invalidated the revelation.</w:t>
      </w:r>
    </w:p>
    <w:p>
      <w:pPr>
        <w:pStyle w:val="Heading2"/>
      </w:pPr>
      <w:r>
        <w:t>Genesis 42:7–8 — Joseph recognises them; they do not recognise him</w:t>
      </w:r>
    </w:p>
    <w:p>
      <w:pPr/>
      <w:r>
        <w:rPr>
          <w:i w:val="0"/>
        </w:rPr>
        <w:t>Joseph recognises his brothers but “made himself strange” to them. The Hebrew nakar in this stem means to make oneself unrecognisable/act as a stranger or foreigner. His Egyptian name, dress, status, language and mature appearance all contribute to the one-sided recognition. He speaks harshly through an interpreter, but the later tears prevent reading this as vindictive cruelty.</w:t>
      </w:r>
    </w:p>
    <w:p>
      <w:pPr>
        <w:pStyle w:val="Heading2"/>
      </w:pPr>
      <w:r>
        <w:t>Genesis 42:9 — accusation of spying</w:t>
      </w:r>
    </w:p>
    <w:p>
      <w:pPr/>
      <w:r>
        <w:rPr>
          <w:i w:val="0"/>
        </w:rPr>
        <w:t>Joseph remembers the dreams and accuses them of being spies who have come to see the “nakedness” of the land — its exposed or undefended condition. The word for spies is related to ragal, to go about on foot/reconnoitre. The charge creates the pressure under which the brothers must disclose their family structure and eventually bring Benjamin.</w:t>
      </w:r>
    </w:p>
    <w:p>
      <w:pPr>
        <w:pStyle w:val="Heading1"/>
      </w:pPr>
      <w:r>
        <w:t>THE FAMILY STORY EXPOSED — GENESIS 42:10–17</w:t>
      </w:r>
    </w:p>
    <w:p>
      <w:pPr>
        <w:pStyle w:val="Heading2"/>
      </w:pPr>
      <w:r>
        <w:t>Genesis 42:10–13 — “twelve brethren ... and one is not”</w:t>
      </w:r>
    </w:p>
    <w:p>
      <w:pPr/>
      <w:r>
        <w:rPr>
          <w:i w:val="0"/>
        </w:rPr>
        <w:t>The brothers insist they are honest men seeking food. To prove that ten foreigners are one family rather than a spy network, they explain that they are twelve sons of one father: the youngest is with Jacob and “one is not.” The dramatic irony is complete: they describe Joseph’s absence to Joseph himself.</w:t>
      </w:r>
    </w:p>
    <w:p>
      <w:pPr>
        <w:pStyle w:val="Heading2"/>
      </w:pPr>
      <w:r>
        <w:t>Genesis 42:14–16 — Benjamin becomes the proof</w:t>
      </w:r>
    </w:p>
    <w:p>
      <w:pPr/>
      <w:r>
        <w:rPr>
          <w:i w:val="0"/>
        </w:rPr>
        <w:t>Joseph insists that their claim will be tested by producing the youngest brother. “By the life of Pharaoh” is a solemn oath/asseveration formula invoking Pharaoh’s life, appropriate to Joseph’s assumed Egyptian public role. It should not be treated as casual speech. Benjamin becomes the key evidence because their treatment of him will reveal whether the old jealousy toward a favoured son remains.</w:t>
      </w:r>
    </w:p>
    <w:p>
      <w:pPr>
        <w:pStyle w:val="Heading2"/>
      </w:pPr>
      <w:r>
        <w:t>Genesis 42:17 — three days in custody</w:t>
      </w:r>
    </w:p>
    <w:p>
      <w:pPr/>
      <w:r>
        <w:rPr>
          <w:i w:val="0"/>
        </w:rPr>
        <w:t>Joseph places all ten in ward for three days. The experience gives the brothers a brief taste of helpless confinement. Mansfield’s attempt to turn the three days into a precise prophetic chronology for Israel is typological rather than an interpretation supplied by Genesis.</w:t>
      </w:r>
    </w:p>
    <w:p>
      <w:pPr>
        <w:pStyle w:val="Heading1"/>
      </w:pPr>
      <w:r>
        <w:t>“I FEAR GOD” AND THE AWAKENING OF CONSCIENCE — GENESIS 42:18–24</w:t>
      </w:r>
    </w:p>
    <w:p>
      <w:pPr>
        <w:pStyle w:val="Heading2"/>
      </w:pPr>
      <w:r>
        <w:t>Genesis 42:18–20 — the test is relaxed</w:t>
      </w:r>
    </w:p>
    <w:p>
      <w:pPr/>
      <w:r>
        <w:rPr>
          <w:i w:val="0"/>
        </w:rPr>
        <w:t>On the third day Joseph changes the arrangement. Only one brother will remain detained while the others carry grain home and return with Benjamin. He explains, “This do, and live; for I fear God.” The Hebrew uses ha-Elohim, “the God,” and Joseph’s declaration assures them that the ruler before them recognises moral accountability beyond Pharaoh.</w:t>
      </w:r>
    </w:p>
    <w:p>
      <w:pPr>
        <w:pStyle w:val="Heading2"/>
      </w:pPr>
      <w:r>
        <w:t>Genesis 42:21 — “We are verily guilty concerning our brother”</w:t>
      </w:r>
    </w:p>
    <w:p>
      <w:pPr/>
      <w:r>
        <w:rPr>
          <w:i w:val="0"/>
        </w:rPr>
        <w:t>The pressure finally reaches conscience. The brothers explicitly acknowledge guilt over Joseph and remember details omitted from Genesis 37: they saw “the anguish of his soul” and heard him plead, but refused to listen. They now interpret their distress as consequence for that callousness. This is the first major verbal breakthrough toward repentance.</w:t>
      </w:r>
    </w:p>
    <w:p>
      <w:pPr>
        <w:pStyle w:val="Heading2"/>
      </w:pPr>
      <w:r>
        <w:t>Genesis 42:22 — Reuben and responsibility</w:t>
      </w:r>
    </w:p>
    <w:p>
      <w:pPr/>
      <w:r>
        <w:rPr>
          <w:i w:val="0"/>
        </w:rPr>
        <w:t>Reuben reminds them that he had warned against sinning against the lad. “His blood is required” expresses the principle that accountability for wrongful violence has returned upon them. Reuben’s earlier intervention in Genesis 37:21–22 was real, although he failed to prevent the final sale.</w:t>
      </w:r>
    </w:p>
    <w:p>
      <w:pPr>
        <w:pStyle w:val="Heading2"/>
      </w:pPr>
      <w:r>
        <w:t>Genesis 42:23–24 — confession overheard; Joseph weeps</w:t>
      </w:r>
    </w:p>
    <w:p>
      <w:pPr/>
      <w:r>
        <w:rPr>
          <w:i w:val="0"/>
        </w:rPr>
        <w:t>The brothers do not know Joseph understands Hebrew because an interpreter has stood between them. Joseph therefore hears the confession unfiltered. He turns away and weeps, then resumes the test. His tears are critical evidence that the severity is not revenge.</w:t>
      </w:r>
    </w:p>
    <w:p>
      <w:pPr/>
      <w:r>
        <w:rPr>
          <w:i w:val="0"/>
        </w:rPr>
        <w:t>Joseph chooses Simeon to remain bound. Mansfield suggests that Reuben, the eldest, is passed over because he had opposed the original killing, making Simeon the next eldest and therefore next in responsibility. That explanation is plausible but not stated by the text and should remain a suggestion rather than a certainty.</w:t>
      </w:r>
    </w:p>
    <w:p>
      <w:pPr>
        <w:pStyle w:val="Heading1"/>
      </w:pPr>
      <w:r>
        <w:t>GRAIN, SILVER AND FEAR — GENESIS 42:25–28</w:t>
      </w:r>
    </w:p>
    <w:p>
      <w:pPr>
        <w:pStyle w:val="Heading2"/>
      </w:pPr>
      <w:r>
        <w:t>Genesis 42:25–26 — provision given during testing</w:t>
      </w:r>
    </w:p>
    <w:p>
      <w:pPr/>
      <w:r>
        <w:rPr>
          <w:i w:val="0"/>
        </w:rPr>
        <w:t>Joseph orders their vessels filled with grain, every man’s silver returned secretly, and provisions supplied for the journey. The men are being tested, but Joseph is simultaneously sustaining the households whose famine drove them to Egypt. Mansfield’s use of silver as a redemption symbol is a typological layer; the immediate narrative fact is concealed generosity.</w:t>
      </w:r>
    </w:p>
    <w:p>
      <w:pPr>
        <w:pStyle w:val="Heading2"/>
      </w:pPr>
      <w:r>
        <w:t>Genesis 42:27–28 — “their heart failed them”</w:t>
      </w:r>
    </w:p>
    <w:p>
      <w:pPr/>
      <w:r>
        <w:rPr>
          <w:i w:val="0"/>
        </w:rPr>
        <w:t>At a lodging place one brother discovers his silver in the sack. The Hebrew idiom says their heart “went out,” expressing sudden collapse of courage. They tremble and ask, “What is this that God hath done unto us?” Their conscience now reads unexplained events through the category of Divine involvement, though fear still prevents them from recognising grace.</w:t>
      </w:r>
    </w:p>
    <w:p>
      <w:pPr>
        <w:pStyle w:val="Heading1"/>
      </w:pPr>
      <w:r>
        <w:t>THE REPORT TO JACOB — GENESIS 42:29–38</w:t>
      </w:r>
    </w:p>
    <w:p>
      <w:pPr>
        <w:pStyle w:val="Heading2"/>
      </w:pPr>
      <w:r>
        <w:t>Genesis 42:29–35 — the unexplained money deepens fear</w:t>
      </w:r>
    </w:p>
    <w:p>
      <w:pPr/>
      <w:r>
        <w:rPr>
          <w:i w:val="0"/>
        </w:rPr>
        <w:t>The brothers recount the accusation, the demand for Benjamin and Simeon’s detention. When all the sacks are emptied, every man’s bundle of silver appears. What Joseph intended as provision looks to them like dangerous evidence because they do not understand his purpose.</w:t>
      </w:r>
    </w:p>
    <w:p>
      <w:pPr>
        <w:pStyle w:val="Heading2"/>
      </w:pPr>
      <w:r>
        <w:t>Genesis 42:36 — “all these things are against me”</w:t>
      </w:r>
    </w:p>
    <w:p>
      <w:pPr/>
      <w:r>
        <w:rPr>
          <w:i w:val="0"/>
        </w:rPr>
        <w:t>Jacob cries, “Joseph is not, and Simeon is not, and ye will take Benjamin away: all these things are against me.” The Hebrew ‘alay is literally “upon me”: the events feel like a crushing burden resting upon him. The irony is among the strongest in Genesis. Joseph is alive, Simeon is safe, Benjamin will be returned, and the apparently hostile chain of events is the very means by which the family will be preserved.</w:t>
      </w:r>
    </w:p>
    <w:p>
      <w:pPr>
        <w:pStyle w:val="Heading2"/>
      </w:pPr>
      <w:r>
        <w:t>Genesis 42:37 — Reuben’s rash guarantee</w:t>
      </w:r>
    </w:p>
    <w:p>
      <w:pPr/>
      <w:r>
        <w:rPr>
          <w:i w:val="0"/>
        </w:rPr>
        <w:t>Reuben offers two of his own sons for death if he fails to bring Benjamin back. The proposal is morally and emotionally useless: killing grandchildren cannot compensate Jacob for another lost son. Mansfield cites ancient Near Eastern laws of substituted family penalty; even if such parallels existed, they do not make Reuben’s offer wise or righteous.</w:t>
      </w:r>
    </w:p>
    <w:p>
      <w:pPr>
        <w:pStyle w:val="Heading2"/>
      </w:pPr>
      <w:r>
        <w:t>Genesis 42:38 — Jacob refuses to risk Benjamin</w:t>
      </w:r>
    </w:p>
    <w:p>
      <w:pPr/>
      <w:r>
        <w:rPr>
          <w:i w:val="0"/>
        </w:rPr>
        <w:t>Jacob insists that Benjamin will not go. He believes Joseph dead and Benjamin alone remains of Rachel’s sons. If harm comes to him, Jacob says his gray hairs will descend to Sheol in sorrow. As in Genesis 37:35, Sheol here is the grave/state of death, not a conscious heavenly destination.</w:t>
      </w:r>
    </w:p>
    <w:p>
      <w:pPr>
        <w:pStyle w:val="Heading1"/>
      </w:pPr>
      <w:r>
        <w:t>JOSEPH AND CHRIST — HIDDEN IDENTITY</w:t>
      </w:r>
    </w:p>
    <w:p>
      <w:pPr/>
      <w:r>
        <w:rPr>
          <w:i w:val="0"/>
        </w:rPr>
        <w:t>Mansfield’s central typology is strongest in the broad pattern: Joseph is honoured among Gentiles while his natural brethren do not recognise him; he knows them before they know him; their recognition requires moral awakening; and eventual reconciliation is preceded by testing. These parallels may illuminate later biblical themes of Israel and Messiah, but individual details should not be turned into a rigid timetable.</w:t>
      </w:r>
    </w:p>
    <w:p>
      <w:pPr>
        <w:pStyle w:val="Heading1"/>
      </w:pPr>
      <w:r>
        <w:t>PRINCIPAL THEMES</w:t>
      </w:r>
    </w:p>
    <w:p>
      <w:pPr>
        <w:ind w:left="259" w:hanging="202"/>
      </w:pPr>
      <w:r>
        <w:rPr>
          <w:b/>
        </w:rPr>
        <w:t xml:space="preserve">• </w:t>
      </w:r>
      <w:r>
        <w:t>The brothers bow before Joseph without recognising him, beginning fulfilment of the dreams.</w:t>
      </w:r>
    </w:p>
    <w:p>
      <w:pPr>
        <w:ind w:left="259" w:hanging="202"/>
      </w:pPr>
      <w:r>
        <w:rPr>
          <w:b/>
        </w:rPr>
        <w:t xml:space="preserve">• </w:t>
      </w:r>
      <w:r>
        <w:t>Joseph’s testing is designed to expose conscience and verify changed conduct, not to exact revenge.</w:t>
      </w:r>
    </w:p>
    <w:p>
      <w:pPr>
        <w:ind w:left="259" w:hanging="202"/>
      </w:pPr>
      <w:r>
        <w:rPr>
          <w:b/>
        </w:rPr>
        <w:t xml:space="preserve">• </w:t>
      </w:r>
      <w:r>
        <w:t>Benjamin becomes the decisive test of whether jealousy toward a favoured brother has been overcome.</w:t>
      </w:r>
    </w:p>
    <w:p>
      <w:pPr>
        <w:ind w:left="259" w:hanging="202"/>
      </w:pPr>
      <w:r>
        <w:rPr>
          <w:b/>
        </w:rPr>
        <w:t xml:space="preserve">• </w:t>
      </w:r>
      <w:r>
        <w:t>The brothers openly acknowledge guilt when present distress recalls Joseph’s anguish.</w:t>
      </w:r>
    </w:p>
    <w:p>
      <w:pPr>
        <w:ind w:left="259" w:hanging="202"/>
      </w:pPr>
      <w:r>
        <w:rPr>
          <w:b/>
        </w:rPr>
        <w:t xml:space="preserve">• </w:t>
      </w:r>
      <w:r>
        <w:t>Joseph’s tears reveal compassion beneath the severe public role.</w:t>
      </w:r>
    </w:p>
    <w:p>
      <w:pPr>
        <w:ind w:left="259" w:hanging="202"/>
      </w:pPr>
      <w:r>
        <w:rPr>
          <w:b/>
        </w:rPr>
        <w:t xml:space="preserve">• </w:t>
      </w:r>
      <w:r>
        <w:t>Provision and grace continue even while moral testing is unfinished.</w:t>
      </w:r>
    </w:p>
    <w:p>
      <w:pPr>
        <w:ind w:left="259" w:hanging="202"/>
      </w:pPr>
      <w:r>
        <w:rPr>
          <w:b/>
        </w:rPr>
        <w:t xml:space="preserve">• </w:t>
      </w:r>
      <w:r>
        <w:t>Jacob interprets providence as being against him because he cannot yet see the whole purpose.</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42:6</w:t>
            </w:r>
          </w:p>
        </w:tc>
        <w:tc>
          <w:tcPr>
            <w:tcW w:type="dxa" w:w="3552"/>
            <w:vAlign w:val="top"/>
          </w:tcPr>
          <w:p>
            <w:pPr>
              <w:spacing w:after="0"/>
            </w:pPr>
            <w:r>
              <w:rPr>
                <w:rFonts w:ascii="Times New Roman" w:hAnsi="Times New Roman"/>
                <w:sz w:val="15"/>
              </w:rPr>
              <w:t>shallit</w:t>
            </w:r>
          </w:p>
        </w:tc>
        <w:tc>
          <w:tcPr>
            <w:tcW w:type="dxa" w:w="3552"/>
            <w:vAlign w:val="top"/>
          </w:tcPr>
          <w:p>
            <w:pPr>
              <w:spacing w:after="0"/>
            </w:pPr>
            <w:r>
              <w:rPr>
                <w:rFonts w:ascii="Times New Roman" w:hAnsi="Times New Roman"/>
                <w:sz w:val="15"/>
              </w:rPr>
              <w:t>Ruler/governor exercising dominant authority; no Hyksos name-equation required.</w:t>
            </w:r>
          </w:p>
        </w:tc>
      </w:tr>
      <w:tr>
        <w:tc>
          <w:tcPr>
            <w:tcW w:type="dxa" w:w="3552"/>
            <w:vAlign w:val="top"/>
          </w:tcPr>
          <w:p>
            <w:pPr>
              <w:spacing w:after="0"/>
            </w:pPr>
            <w:r>
              <w:rPr>
                <w:rFonts w:ascii="Times New Roman" w:hAnsi="Times New Roman"/>
                <w:sz w:val="15"/>
              </w:rPr>
              <w:t>Gen. 42:6</w:t>
            </w:r>
          </w:p>
        </w:tc>
        <w:tc>
          <w:tcPr>
            <w:tcW w:type="dxa" w:w="3552"/>
            <w:vAlign w:val="top"/>
          </w:tcPr>
          <w:p>
            <w:pPr>
              <w:spacing w:after="0"/>
            </w:pPr>
            <w:r>
              <w:rPr>
                <w:rFonts w:ascii="Times New Roman" w:hAnsi="Times New Roman"/>
                <w:sz w:val="15"/>
              </w:rPr>
              <w:t>Gen. 37:7–10</w:t>
            </w:r>
          </w:p>
        </w:tc>
        <w:tc>
          <w:tcPr>
            <w:tcW w:type="dxa" w:w="3552"/>
            <w:vAlign w:val="top"/>
          </w:tcPr>
          <w:p>
            <w:pPr>
              <w:spacing w:after="0"/>
            </w:pPr>
            <w:r>
              <w:rPr>
                <w:rFonts w:ascii="Times New Roman" w:hAnsi="Times New Roman"/>
                <w:sz w:val="15"/>
              </w:rPr>
              <w:t>Brothers’ bowing begins explicit fulfilment of Joseph’s dreams after a little over 20 years.</w:t>
            </w:r>
          </w:p>
        </w:tc>
      </w:tr>
      <w:tr>
        <w:tc>
          <w:tcPr>
            <w:tcW w:type="dxa" w:w="3552"/>
            <w:vAlign w:val="top"/>
          </w:tcPr>
          <w:p>
            <w:pPr>
              <w:spacing w:after="0"/>
            </w:pPr>
            <w:r>
              <w:rPr>
                <w:rFonts w:ascii="Times New Roman" w:hAnsi="Times New Roman"/>
                <w:sz w:val="15"/>
              </w:rPr>
              <w:t>Gen. 42:7</w:t>
            </w:r>
          </w:p>
        </w:tc>
        <w:tc>
          <w:tcPr>
            <w:tcW w:type="dxa" w:w="3552"/>
            <w:vAlign w:val="top"/>
          </w:tcPr>
          <w:p>
            <w:pPr>
              <w:spacing w:after="0"/>
            </w:pPr>
            <w:r>
              <w:rPr>
                <w:rFonts w:ascii="Times New Roman" w:hAnsi="Times New Roman"/>
                <w:sz w:val="15"/>
              </w:rPr>
              <w:t>nakar</w:t>
            </w:r>
          </w:p>
        </w:tc>
        <w:tc>
          <w:tcPr>
            <w:tcW w:type="dxa" w:w="3552"/>
            <w:vAlign w:val="top"/>
          </w:tcPr>
          <w:p>
            <w:pPr>
              <w:spacing w:after="0"/>
            </w:pPr>
            <w:r>
              <w:rPr>
                <w:rFonts w:ascii="Times New Roman" w:hAnsi="Times New Roman"/>
                <w:sz w:val="15"/>
              </w:rPr>
              <w:t>Act as a stranger/make oneself unrecognisable.</w:t>
            </w:r>
          </w:p>
        </w:tc>
      </w:tr>
      <w:tr>
        <w:tc>
          <w:tcPr>
            <w:tcW w:type="dxa" w:w="3552"/>
            <w:vAlign w:val="top"/>
          </w:tcPr>
          <w:p>
            <w:pPr>
              <w:spacing w:after="0"/>
            </w:pPr>
            <w:r>
              <w:rPr>
                <w:rFonts w:ascii="Times New Roman" w:hAnsi="Times New Roman"/>
                <w:sz w:val="15"/>
              </w:rPr>
              <w:t>Gen. 42:9</w:t>
            </w:r>
          </w:p>
        </w:tc>
        <w:tc>
          <w:tcPr>
            <w:tcW w:type="dxa" w:w="3552"/>
            <w:vAlign w:val="top"/>
          </w:tcPr>
          <w:p>
            <w:pPr>
              <w:spacing w:after="0"/>
            </w:pPr>
            <w:r>
              <w:rPr>
                <w:rFonts w:ascii="Times New Roman" w:hAnsi="Times New Roman"/>
                <w:sz w:val="15"/>
              </w:rPr>
              <w:t>ragal / nakedness</w:t>
            </w:r>
          </w:p>
        </w:tc>
        <w:tc>
          <w:tcPr>
            <w:tcW w:type="dxa" w:w="3552"/>
            <w:vAlign w:val="top"/>
          </w:tcPr>
          <w:p>
            <w:pPr>
              <w:spacing w:after="0"/>
            </w:pPr>
            <w:r>
              <w:rPr>
                <w:rFonts w:ascii="Times New Roman" w:hAnsi="Times New Roman"/>
                <w:sz w:val="15"/>
              </w:rPr>
              <w:t>Spying/reconnoitring; exposed or undefended condition of the land.</w:t>
            </w:r>
          </w:p>
        </w:tc>
      </w:tr>
      <w:tr>
        <w:tc>
          <w:tcPr>
            <w:tcW w:type="dxa" w:w="3552"/>
            <w:vAlign w:val="top"/>
          </w:tcPr>
          <w:p>
            <w:pPr>
              <w:spacing w:after="0"/>
            </w:pPr>
            <w:r>
              <w:rPr>
                <w:rFonts w:ascii="Times New Roman" w:hAnsi="Times New Roman"/>
                <w:sz w:val="15"/>
              </w:rPr>
              <w:t>Gen. 42:13</w:t>
            </w:r>
          </w:p>
        </w:tc>
        <w:tc>
          <w:tcPr>
            <w:tcW w:type="dxa" w:w="3552"/>
            <w:vAlign w:val="top"/>
          </w:tcPr>
          <w:p>
            <w:pPr>
              <w:spacing w:after="0"/>
            </w:pPr>
            <w:r>
              <w:rPr>
                <w:rFonts w:ascii="Times New Roman" w:hAnsi="Times New Roman"/>
                <w:sz w:val="15"/>
              </w:rPr>
              <w:t>“one is not”</w:t>
            </w:r>
          </w:p>
        </w:tc>
        <w:tc>
          <w:tcPr>
            <w:tcW w:type="dxa" w:w="3552"/>
            <w:vAlign w:val="top"/>
          </w:tcPr>
          <w:p>
            <w:pPr>
              <w:spacing w:after="0"/>
            </w:pPr>
            <w:r>
              <w:rPr>
                <w:rFonts w:ascii="Times New Roman" w:hAnsi="Times New Roman"/>
                <w:sz w:val="15"/>
              </w:rPr>
              <w:t>Brothers unknowingly speak of Joseph in Joseph’s presence.</w:t>
            </w:r>
          </w:p>
        </w:tc>
      </w:tr>
      <w:tr>
        <w:tc>
          <w:tcPr>
            <w:tcW w:type="dxa" w:w="3552"/>
            <w:vAlign w:val="top"/>
          </w:tcPr>
          <w:p>
            <w:pPr>
              <w:spacing w:after="0"/>
            </w:pPr>
            <w:r>
              <w:rPr>
                <w:rFonts w:ascii="Times New Roman" w:hAnsi="Times New Roman"/>
                <w:sz w:val="15"/>
              </w:rPr>
              <w:t>Gen. 42:15–16</w:t>
            </w:r>
          </w:p>
        </w:tc>
        <w:tc>
          <w:tcPr>
            <w:tcW w:type="dxa" w:w="3552"/>
            <w:vAlign w:val="top"/>
          </w:tcPr>
          <w:p>
            <w:pPr>
              <w:spacing w:after="0"/>
            </w:pPr>
            <w:r>
              <w:rPr>
                <w:rFonts w:ascii="Times New Roman" w:hAnsi="Times New Roman"/>
                <w:sz w:val="15"/>
              </w:rPr>
              <w:t>life of Pharaoh</w:t>
            </w:r>
          </w:p>
        </w:tc>
        <w:tc>
          <w:tcPr>
            <w:tcW w:type="dxa" w:w="3552"/>
            <w:vAlign w:val="top"/>
          </w:tcPr>
          <w:p>
            <w:pPr>
              <w:spacing w:after="0"/>
            </w:pPr>
            <w:r>
              <w:rPr>
                <w:rFonts w:ascii="Times New Roman" w:hAnsi="Times New Roman"/>
                <w:sz w:val="15"/>
              </w:rPr>
              <w:t>Solemn oath/asseveration formula, not merely casual phrasing.</w:t>
            </w:r>
          </w:p>
        </w:tc>
      </w:tr>
      <w:tr>
        <w:tc>
          <w:tcPr>
            <w:tcW w:type="dxa" w:w="3552"/>
            <w:vAlign w:val="top"/>
          </w:tcPr>
          <w:p>
            <w:pPr>
              <w:spacing w:after="0"/>
            </w:pPr>
            <w:r>
              <w:rPr>
                <w:rFonts w:ascii="Times New Roman" w:hAnsi="Times New Roman"/>
                <w:sz w:val="15"/>
              </w:rPr>
              <w:t>Gen. 42:17</w:t>
            </w:r>
          </w:p>
        </w:tc>
        <w:tc>
          <w:tcPr>
            <w:tcW w:type="dxa" w:w="3552"/>
            <w:vAlign w:val="top"/>
          </w:tcPr>
          <w:p>
            <w:pPr>
              <w:spacing w:after="0"/>
            </w:pPr>
            <w:r>
              <w:rPr>
                <w:rFonts w:ascii="Times New Roman" w:hAnsi="Times New Roman"/>
                <w:sz w:val="15"/>
              </w:rPr>
              <w:t>three days</w:t>
            </w:r>
          </w:p>
        </w:tc>
        <w:tc>
          <w:tcPr>
            <w:tcW w:type="dxa" w:w="3552"/>
            <w:vAlign w:val="top"/>
          </w:tcPr>
          <w:p>
            <w:pPr>
              <w:spacing w:after="0"/>
            </w:pPr>
            <w:r>
              <w:rPr>
                <w:rFonts w:ascii="Times New Roman" w:hAnsi="Times New Roman"/>
                <w:sz w:val="15"/>
              </w:rPr>
              <w:t>Historical confinement primary; prophetic millennial application kept typological.</w:t>
            </w:r>
          </w:p>
        </w:tc>
      </w:tr>
      <w:tr>
        <w:tc>
          <w:tcPr>
            <w:tcW w:type="dxa" w:w="3552"/>
            <w:vAlign w:val="top"/>
          </w:tcPr>
          <w:p>
            <w:pPr>
              <w:spacing w:after="0"/>
            </w:pPr>
            <w:r>
              <w:rPr>
                <w:rFonts w:ascii="Times New Roman" w:hAnsi="Times New Roman"/>
                <w:sz w:val="15"/>
              </w:rPr>
              <w:t>Gen. 42:18</w:t>
            </w:r>
          </w:p>
        </w:tc>
        <w:tc>
          <w:tcPr>
            <w:tcW w:type="dxa" w:w="3552"/>
            <w:vAlign w:val="top"/>
          </w:tcPr>
          <w:p>
            <w:pPr>
              <w:spacing w:after="0"/>
            </w:pPr>
            <w:r>
              <w:rPr>
                <w:rFonts w:ascii="Times New Roman" w:hAnsi="Times New Roman"/>
                <w:sz w:val="15"/>
              </w:rPr>
              <w:t>ha-Elohim</w:t>
            </w:r>
          </w:p>
        </w:tc>
        <w:tc>
          <w:tcPr>
            <w:tcW w:type="dxa" w:w="3552"/>
            <w:vAlign w:val="top"/>
          </w:tcPr>
          <w:p>
            <w:pPr>
              <w:spacing w:after="0"/>
            </w:pPr>
            <w:r>
              <w:rPr>
                <w:rFonts w:ascii="Times New Roman" w:hAnsi="Times New Roman"/>
                <w:sz w:val="15"/>
              </w:rPr>
              <w:t>Joseph declares fear of “the God,” establishing moral accountability.</w:t>
            </w:r>
          </w:p>
        </w:tc>
      </w:tr>
      <w:tr>
        <w:tc>
          <w:tcPr>
            <w:tcW w:type="dxa" w:w="3552"/>
            <w:vAlign w:val="top"/>
          </w:tcPr>
          <w:p>
            <w:pPr>
              <w:spacing w:after="0"/>
            </w:pPr>
            <w:r>
              <w:rPr>
                <w:rFonts w:ascii="Times New Roman" w:hAnsi="Times New Roman"/>
                <w:sz w:val="15"/>
              </w:rPr>
              <w:t>Gen. 42:21</w:t>
            </w:r>
          </w:p>
        </w:tc>
        <w:tc>
          <w:tcPr>
            <w:tcW w:type="dxa" w:w="3552"/>
            <w:vAlign w:val="top"/>
          </w:tcPr>
          <w:p>
            <w:pPr>
              <w:spacing w:after="0"/>
            </w:pPr>
            <w:r>
              <w:rPr>
                <w:rFonts w:ascii="Times New Roman" w:hAnsi="Times New Roman"/>
                <w:sz w:val="15"/>
              </w:rPr>
              <w:t>Gen. 37 + new detail</w:t>
            </w:r>
          </w:p>
        </w:tc>
        <w:tc>
          <w:tcPr>
            <w:tcW w:type="dxa" w:w="3552"/>
            <w:vAlign w:val="top"/>
          </w:tcPr>
          <w:p>
            <w:pPr>
              <w:spacing w:after="0"/>
            </w:pPr>
            <w:r>
              <w:rPr>
                <w:rFonts w:ascii="Times New Roman" w:hAnsi="Times New Roman"/>
                <w:sz w:val="15"/>
              </w:rPr>
              <w:t>Genesis 42 supplies Joseph’s pleading and anguish omitted from the original sale narrative.</w:t>
            </w:r>
          </w:p>
        </w:tc>
      </w:tr>
      <w:tr>
        <w:tc>
          <w:tcPr>
            <w:tcW w:type="dxa" w:w="3552"/>
            <w:vAlign w:val="top"/>
          </w:tcPr>
          <w:p>
            <w:pPr>
              <w:spacing w:after="0"/>
            </w:pPr>
            <w:r>
              <w:rPr>
                <w:rFonts w:ascii="Times New Roman" w:hAnsi="Times New Roman"/>
                <w:sz w:val="15"/>
              </w:rPr>
              <w:t>Gen. 42:23</w:t>
            </w:r>
          </w:p>
        </w:tc>
        <w:tc>
          <w:tcPr>
            <w:tcW w:type="dxa" w:w="3552"/>
            <w:vAlign w:val="top"/>
          </w:tcPr>
          <w:p>
            <w:pPr>
              <w:spacing w:after="0"/>
            </w:pPr>
            <w:r>
              <w:rPr>
                <w:rFonts w:ascii="Times New Roman" w:hAnsi="Times New Roman"/>
                <w:sz w:val="15"/>
              </w:rPr>
              <w:t>interpreter between them</w:t>
            </w:r>
          </w:p>
        </w:tc>
        <w:tc>
          <w:tcPr>
            <w:tcW w:type="dxa" w:w="3552"/>
            <w:vAlign w:val="top"/>
          </w:tcPr>
          <w:p>
            <w:pPr>
              <w:spacing w:after="0"/>
            </w:pPr>
            <w:r>
              <w:rPr>
                <w:rFonts w:ascii="Times New Roman" w:hAnsi="Times New Roman"/>
                <w:sz w:val="15"/>
              </w:rPr>
              <w:t>Explains why the brothers freely confess in Joseph’s hearing.</w:t>
            </w:r>
          </w:p>
        </w:tc>
      </w:tr>
      <w:tr>
        <w:tc>
          <w:tcPr>
            <w:tcW w:type="dxa" w:w="3552"/>
            <w:vAlign w:val="top"/>
          </w:tcPr>
          <w:p>
            <w:pPr>
              <w:spacing w:after="0"/>
            </w:pPr>
            <w:r>
              <w:rPr>
                <w:rFonts w:ascii="Times New Roman" w:hAnsi="Times New Roman"/>
                <w:sz w:val="15"/>
              </w:rPr>
              <w:t>Gen. 42:24</w:t>
            </w:r>
          </w:p>
        </w:tc>
        <w:tc>
          <w:tcPr>
            <w:tcW w:type="dxa" w:w="3552"/>
            <w:vAlign w:val="top"/>
          </w:tcPr>
          <w:p>
            <w:pPr>
              <w:spacing w:after="0"/>
            </w:pPr>
            <w:r>
              <w:rPr>
                <w:rFonts w:ascii="Times New Roman" w:hAnsi="Times New Roman"/>
                <w:sz w:val="15"/>
              </w:rPr>
              <w:t>Simeon choice</w:t>
            </w:r>
          </w:p>
        </w:tc>
        <w:tc>
          <w:tcPr>
            <w:tcW w:type="dxa" w:w="3552"/>
            <w:vAlign w:val="top"/>
          </w:tcPr>
          <w:p>
            <w:pPr>
              <w:spacing w:after="0"/>
            </w:pPr>
            <w:r>
              <w:rPr>
                <w:rFonts w:ascii="Times New Roman" w:hAnsi="Times New Roman"/>
                <w:sz w:val="15"/>
              </w:rPr>
              <w:t>Next-eldest-after-Reuben explanation plausible but not stated.</w:t>
            </w:r>
          </w:p>
        </w:tc>
      </w:tr>
      <w:tr>
        <w:tc>
          <w:tcPr>
            <w:tcW w:type="dxa" w:w="3552"/>
            <w:vAlign w:val="top"/>
          </w:tcPr>
          <w:p>
            <w:pPr>
              <w:spacing w:after="0"/>
            </w:pPr>
            <w:r>
              <w:rPr>
                <w:rFonts w:ascii="Times New Roman" w:hAnsi="Times New Roman"/>
                <w:sz w:val="15"/>
              </w:rPr>
              <w:t>Gen. 42:25</w:t>
            </w:r>
          </w:p>
        </w:tc>
        <w:tc>
          <w:tcPr>
            <w:tcW w:type="dxa" w:w="3552"/>
            <w:vAlign w:val="top"/>
          </w:tcPr>
          <w:p>
            <w:pPr>
              <w:spacing w:after="0"/>
            </w:pPr>
            <w:r>
              <w:rPr>
                <w:rFonts w:ascii="Times New Roman" w:hAnsi="Times New Roman"/>
                <w:sz w:val="15"/>
              </w:rPr>
              <w:t>kesef</w:t>
            </w:r>
          </w:p>
        </w:tc>
        <w:tc>
          <w:tcPr>
            <w:tcW w:type="dxa" w:w="3552"/>
            <w:vAlign w:val="top"/>
          </w:tcPr>
          <w:p>
            <w:pPr>
              <w:spacing w:after="0"/>
            </w:pPr>
            <w:r>
              <w:rPr>
                <w:rFonts w:ascii="Times New Roman" w:hAnsi="Times New Roman"/>
                <w:sz w:val="15"/>
              </w:rPr>
              <w:t>Their silver/money is secretly restored; redemption symbolism kept secondary.</w:t>
            </w:r>
          </w:p>
        </w:tc>
      </w:tr>
      <w:tr>
        <w:tc>
          <w:tcPr>
            <w:tcW w:type="dxa" w:w="3552"/>
            <w:vAlign w:val="top"/>
          </w:tcPr>
          <w:p>
            <w:pPr>
              <w:spacing w:after="0"/>
            </w:pPr>
            <w:r>
              <w:rPr>
                <w:rFonts w:ascii="Times New Roman" w:hAnsi="Times New Roman"/>
                <w:sz w:val="15"/>
              </w:rPr>
              <w:t>Gen. 42:28</w:t>
            </w:r>
          </w:p>
        </w:tc>
        <w:tc>
          <w:tcPr>
            <w:tcW w:type="dxa" w:w="3552"/>
            <w:vAlign w:val="top"/>
          </w:tcPr>
          <w:p>
            <w:pPr>
              <w:spacing w:after="0"/>
            </w:pPr>
            <w:r>
              <w:rPr>
                <w:rFonts w:ascii="Times New Roman" w:hAnsi="Times New Roman"/>
                <w:sz w:val="15"/>
              </w:rPr>
              <w:t>heart “went out”</w:t>
            </w:r>
          </w:p>
        </w:tc>
        <w:tc>
          <w:tcPr>
            <w:tcW w:type="dxa" w:w="3552"/>
            <w:vAlign w:val="top"/>
          </w:tcPr>
          <w:p>
            <w:pPr>
              <w:spacing w:after="0"/>
            </w:pPr>
            <w:r>
              <w:rPr>
                <w:rFonts w:ascii="Times New Roman" w:hAnsi="Times New Roman"/>
                <w:sz w:val="15"/>
              </w:rPr>
              <w:t>Hebrew idiom behind KJV “their heart failed them.”</w:t>
            </w:r>
          </w:p>
        </w:tc>
      </w:tr>
      <w:tr>
        <w:tc>
          <w:tcPr>
            <w:tcW w:type="dxa" w:w="3552"/>
            <w:vAlign w:val="top"/>
          </w:tcPr>
          <w:p>
            <w:pPr>
              <w:spacing w:after="0"/>
            </w:pPr>
            <w:r>
              <w:rPr>
                <w:rFonts w:ascii="Times New Roman" w:hAnsi="Times New Roman"/>
                <w:sz w:val="15"/>
              </w:rPr>
              <w:t>Gen. 42:36</w:t>
            </w:r>
          </w:p>
        </w:tc>
        <w:tc>
          <w:tcPr>
            <w:tcW w:type="dxa" w:w="3552"/>
            <w:vAlign w:val="top"/>
          </w:tcPr>
          <w:p>
            <w:pPr>
              <w:spacing w:after="0"/>
            </w:pPr>
            <w:r>
              <w:rPr>
                <w:rFonts w:ascii="Times New Roman" w:hAnsi="Times New Roman"/>
                <w:sz w:val="15"/>
              </w:rPr>
              <w:t>‘alay</w:t>
            </w:r>
          </w:p>
        </w:tc>
        <w:tc>
          <w:tcPr>
            <w:tcW w:type="dxa" w:w="3552"/>
            <w:vAlign w:val="top"/>
          </w:tcPr>
          <w:p>
            <w:pPr>
              <w:spacing w:after="0"/>
            </w:pPr>
            <w:r>
              <w:rPr>
                <w:rFonts w:ascii="Times New Roman" w:hAnsi="Times New Roman"/>
                <w:sz w:val="15"/>
              </w:rPr>
              <w:t>“Upon me”; Jacob experiences events as a crushing personal burden.</w:t>
            </w:r>
          </w:p>
        </w:tc>
      </w:tr>
      <w:tr>
        <w:tc>
          <w:tcPr>
            <w:tcW w:type="dxa" w:w="3552"/>
            <w:vAlign w:val="top"/>
          </w:tcPr>
          <w:p>
            <w:pPr>
              <w:spacing w:after="0"/>
            </w:pPr>
            <w:r>
              <w:rPr>
                <w:rFonts w:ascii="Times New Roman" w:hAnsi="Times New Roman"/>
                <w:sz w:val="15"/>
              </w:rPr>
              <w:t>Gen. 42:37</w:t>
            </w:r>
          </w:p>
        </w:tc>
        <w:tc>
          <w:tcPr>
            <w:tcW w:type="dxa" w:w="3552"/>
            <w:vAlign w:val="top"/>
          </w:tcPr>
          <w:p>
            <w:pPr>
              <w:spacing w:after="0"/>
            </w:pPr>
            <w:r>
              <w:rPr>
                <w:rFonts w:ascii="Times New Roman" w:hAnsi="Times New Roman"/>
                <w:sz w:val="15"/>
              </w:rPr>
              <w:t>Reuben’s sons</w:t>
            </w:r>
          </w:p>
        </w:tc>
        <w:tc>
          <w:tcPr>
            <w:tcW w:type="dxa" w:w="3552"/>
            <w:vAlign w:val="top"/>
          </w:tcPr>
          <w:p>
            <w:pPr>
              <w:spacing w:after="0"/>
            </w:pPr>
            <w:r>
              <w:rPr>
                <w:rFonts w:ascii="Times New Roman" w:hAnsi="Times New Roman"/>
                <w:sz w:val="15"/>
              </w:rPr>
              <w:t>Offer is rash; ancient legal parallels do not make it morally adequate.</w:t>
            </w:r>
          </w:p>
        </w:tc>
      </w:tr>
      <w:tr>
        <w:tc>
          <w:tcPr>
            <w:tcW w:type="dxa" w:w="3552"/>
            <w:vAlign w:val="top"/>
          </w:tcPr>
          <w:p>
            <w:pPr>
              <w:spacing w:after="0"/>
            </w:pPr>
            <w:r>
              <w:rPr>
                <w:rFonts w:ascii="Times New Roman" w:hAnsi="Times New Roman"/>
                <w:sz w:val="15"/>
              </w:rPr>
              <w:t>Gen. 42:38</w:t>
            </w:r>
          </w:p>
        </w:tc>
        <w:tc>
          <w:tcPr>
            <w:tcW w:type="dxa" w:w="3552"/>
            <w:vAlign w:val="top"/>
          </w:tcPr>
          <w:p>
            <w:pPr>
              <w:spacing w:after="0"/>
            </w:pPr>
            <w:r>
              <w:rPr>
                <w:rFonts w:ascii="Times New Roman" w:hAnsi="Times New Roman"/>
                <w:sz w:val="15"/>
              </w:rPr>
              <w:t>Sheol</w:t>
            </w:r>
          </w:p>
        </w:tc>
        <w:tc>
          <w:tcPr>
            <w:tcW w:type="dxa" w:w="3552"/>
            <w:vAlign w:val="top"/>
          </w:tcPr>
          <w:p>
            <w:pPr>
              <w:spacing w:after="0"/>
            </w:pPr>
            <w:r>
              <w:rPr>
                <w:rFonts w:ascii="Times New Roman" w:hAnsi="Times New Roman"/>
                <w:sz w:val="15"/>
              </w:rPr>
              <w:t>Grave/state of death, consistent with Gen. 37:35.</w:t>
            </w:r>
          </w:p>
        </w:tc>
      </w:tr>
    </w:tbl>
    <w:p>
      <w:pPr>
        <w:pStyle w:val="Heading1"/>
      </w:pPr>
      <w:r>
        <w:t>RESIDUAL UNCERTAINTIES</w:t>
      </w:r>
    </w:p>
    <w:p>
      <w:pPr/>
      <w:r>
        <w:rPr>
          <w:i w:val="0"/>
        </w:rPr>
        <w:t>Genesis does not state why Joseph selected Simeon, how much the brothers understood about Joseph’s Egyptian authority, or precisely how long into the famine this first journey occurred. The prophetic use of the three-day imprisonment, detailed Benjamin-Christ correspondences, and modern Israel applications remain Mansfield’s typological exposition rather than the grammatical meaning of Genesis 42.</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42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6"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4"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