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44</w:t>
      </w:r>
    </w:p>
    <w:p>
      <w:pPr>
        <w:pStyle w:val="Subtitle"/>
      </w:pPr>
      <w:r>
        <w:t>THE SILVER CUP TEST • BENJAMIN ACCUSED • ALL THE BROTHERS RETURN • GUILT ACKNOWLEDGED • JUDAH OFFERS HIMSELF</w:t>
      </w:r>
    </w:p>
    <w:p>
      <w:pPr/>
      <w:r>
        <w:rPr>
          <w:i/>
        </w:rPr>
        <w:t>H. P. Mansfield Bible notes — checked and arranged in verse-by-verse Expositor style</w:t>
      </w:r>
    </w:p>
    <w:p>
      <w:pPr/>
      <w:r>
        <w:rPr>
          <w:i w:val="0"/>
        </w:rPr>
        <w:t>Source: HPB 02-Gen42-Lev11.pdf, principally Genesis 44 photographed pages 4–6</w:t>
      </w:r>
    </w:p>
    <w:p>
      <w:pPr>
        <w:pStyle w:val="Heading1"/>
      </w:pPr>
      <w:r>
        <w:t>CHAPTER OVERVIEW</w:t>
      </w:r>
    </w:p>
    <w:p>
      <w:pPr/>
      <w:r>
        <w:rPr>
          <w:i w:val="0"/>
        </w:rPr>
        <w:t>Genesis 44 brings Joseph’s moral testing to its climax. Benjamin is deliberately placed in a position that appears to justify his retention as a slave, while the other brothers are offered freedom. The question is no longer whether they can explain themselves, but whether they will abandon another favoured son of Rachel as they once abandoned Joseph.</w:t>
      </w:r>
    </w:p>
    <w:p>
      <w:pPr/>
      <w:r>
        <w:rPr>
          <w:i w:val="0"/>
        </w:rPr>
        <w:t>Their return together and Judah’s final plea prove the transformation. The man who once proposed selling Joseph into slavery now asks to become a slave in Benjamin’s place so that Jacob will not be broken by another loss.</w:t>
      </w:r>
    </w:p>
    <w:p>
      <w:pPr>
        <w:pStyle w:val="Heading1"/>
      </w:pPr>
      <w:r>
        <w:t>THE SILVER CUP TEST — GENESIS 44:1–13</w:t>
      </w:r>
    </w:p>
    <w:p>
      <w:pPr>
        <w:pStyle w:val="Heading2"/>
      </w:pPr>
      <w:r>
        <w:t>Genesis 44:1–2 — the crisis deliberately centred on Benjamin</w:t>
      </w:r>
    </w:p>
    <w:p>
      <w:pPr/>
      <w:r>
        <w:rPr>
          <w:i w:val="0"/>
        </w:rPr>
        <w:t>Joseph orders every sack filled with as much grain as it can carry, each man’s silver restored, and his own silver cup placed in Benjamin’s sack with Benjamin’s purchase money. The act is a constructed test, not an accusation Joseph genuinely believes. Its purpose is to create a credible situation in which Benjamin alone can be retained.</w:t>
      </w:r>
    </w:p>
    <w:p>
      <w:pPr>
        <w:pStyle w:val="Heading2"/>
      </w:pPr>
      <w:r>
        <w:t>Genesis 44:3–5 — pursuit and the language of divination</w:t>
      </w:r>
    </w:p>
    <w:p>
      <w:pPr/>
      <w:r>
        <w:rPr>
          <w:i w:val="0"/>
        </w:rPr>
        <w:t>Soon after dawn the brothers leave, but Joseph sends his steward after them. The steward accuses them of repaying good with evil and describes the cup as one by which his master “divineth.” The Hebrew verb nachash can mean practise divination, seek omens or discern by signs/experience. Genesis 30:27 uses the same verb in Laban’s claim that he had learned by experience/divination.</w:t>
      </w:r>
    </w:p>
    <w:p>
      <w:pPr/>
      <w:r>
        <w:rPr>
          <w:i w:val="0"/>
        </w:rPr>
        <w:t>Joseph should not therefore be presented as actually practising forbidden occultism. The language is consistent with the Egyptian identity he is maintaining and with the cup’s role in the test. The narrative nowhere says Joseph obtained revelation from the cup; throughout the Joseph story true revelation is explicitly attributed to God.</w:t>
      </w:r>
    </w:p>
    <w:p>
      <w:pPr>
        <w:pStyle w:val="Heading2"/>
      </w:pPr>
      <w:r>
        <w:t>Genesis 44:6–10 — confident innocence and a rash offer</w:t>
      </w:r>
    </w:p>
    <w:p>
      <w:pPr/>
      <w:r>
        <w:rPr>
          <w:i w:val="0"/>
        </w:rPr>
        <w:t>The brothers protest: “Far be it” from them to steal. The KJV’s “God forbid” is an idiom; the word God is not present in the Hebrew. They point to their return of the earlier silver as evidence of honesty.</w:t>
      </w:r>
    </w:p>
    <w:p>
      <w:pPr/>
      <w:r>
        <w:rPr>
          <w:i w:val="0"/>
        </w:rPr>
        <w:t>So certain are they that they offer death for the guilty man and slavery for the rest. The steward sharply narrows the terms: only the one with whom the cup is found will become a servant; the rest will be innocent. This modification creates precisely the possibility Joseph needs - all ten can save themselves by leaving Benjamin.</w:t>
      </w:r>
    </w:p>
    <w:p>
      <w:pPr>
        <w:pStyle w:val="Heading2"/>
      </w:pPr>
      <w:r>
        <w:t>Genesis 44:11–13 — the cup found, but Benjamin is not abandoned</w:t>
      </w:r>
    </w:p>
    <w:p>
      <w:pPr/>
      <w:r>
        <w:rPr>
          <w:i w:val="0"/>
        </w:rPr>
        <w:t>The steward searches from eldest to youngest, heightening the tension, and finds the cup with Benjamin. The brothers tear their garments in grief, reload their animals and all return to the city. This is already decisive evidence of change. They do not use Benjamin’s apparent guilt as an excuse to return safely to Jacob without him.</w:t>
      </w:r>
    </w:p>
    <w:p>
      <w:pPr>
        <w:pStyle w:val="Heading1"/>
      </w:pPr>
      <w:r>
        <w:t>BEFORE JOSEPH AGAIN — GENESIS 44:14–17</w:t>
      </w:r>
    </w:p>
    <w:p>
      <w:pPr>
        <w:pStyle w:val="Heading2"/>
      </w:pPr>
      <w:r>
        <w:t>Genesis 44:14–15 — bowing and the final confrontation</w:t>
      </w:r>
    </w:p>
    <w:p>
      <w:pPr/>
      <w:r>
        <w:rPr>
          <w:i w:val="0"/>
        </w:rPr>
        <w:t>Judah and his brothers fall before Joseph again. Joseph challenges their action and again uses the public language of discerning/divining. The repeated prostration continues the fulfilment of Genesis 37, but Joseph is now seeking something deeper than external submission.</w:t>
      </w:r>
    </w:p>
    <w:p>
      <w:pPr>
        <w:pStyle w:val="Heading2"/>
      </w:pPr>
      <w:r>
        <w:t>Genesis 44:16 — “God hath found out the iniquity of thy servants”</w:t>
      </w:r>
    </w:p>
    <w:p>
      <w:pPr/>
      <w:r>
        <w:rPr>
          <w:i w:val="0"/>
        </w:rPr>
        <w:t>Judah makes no attempt to prove the cup charge false. Instead he says, “God hath found out the iniquity of thy servants.” Since the brothers did not steal the cup, the confession necessarily reaches back to deeper guilt, especially their treatment of Joseph. What they admitted privately in Genesis 42:21 is now acknowledged publicly before the ruler.</w:t>
      </w:r>
    </w:p>
    <w:p>
      <w:pPr/>
      <w:r>
        <w:rPr>
          <w:i w:val="0"/>
        </w:rPr>
        <w:t>Judah offers all the brothers as slaves. This is corporate solidarity with Benjamin: they will not purchase freedom by sacrificing him.</w:t>
      </w:r>
    </w:p>
    <w:p>
      <w:pPr>
        <w:pStyle w:val="Heading2"/>
      </w:pPr>
      <w:r>
        <w:t>Genesis 44:17 — Joseph isolates the decisive choice</w:t>
      </w:r>
    </w:p>
    <w:p>
      <w:pPr/>
      <w:r>
        <w:rPr>
          <w:i w:val="0"/>
        </w:rPr>
        <w:t>Joseph refuses the collective slavery. “Far be it” from him: only the man with the cup will remain, while the others may “go up in peace” to Jacob. The test is now exact. Twenty-plus years earlier they saved themselves by disposing of Joseph; now they can save themselves by abandoning Benjamin.</w:t>
      </w:r>
    </w:p>
    <w:p>
      <w:pPr>
        <w:pStyle w:val="Heading1"/>
      </w:pPr>
      <w:r>
        <w:t>JUDAH’S PLEA — GENESIS 44:18–34</w:t>
      </w:r>
    </w:p>
    <w:p>
      <w:pPr>
        <w:pStyle w:val="Heading2"/>
      </w:pPr>
      <w:r>
        <w:t>Genesis 44:18 — Judah comes near</w:t>
      </w:r>
    </w:p>
    <w:p>
      <w:pPr/>
      <w:r>
        <w:rPr>
          <w:i w:val="0"/>
        </w:rPr>
        <w:t>Judah approaches with humility and courage, asking to speak without provoking anger and acknowledging that Joseph is “even as Pharaoh” in authority. The brother who once led in Joseph’s sale now leads in seeking the deliverance of Benjamin.</w:t>
      </w:r>
    </w:p>
    <w:p>
      <w:pPr>
        <w:pStyle w:val="Heading2"/>
      </w:pPr>
      <w:r>
        <w:t>Genesis 44:19–23 — the governor himself demanded Benjamin</w:t>
      </w:r>
    </w:p>
    <w:p>
      <w:pPr/>
      <w:r>
        <w:rPr>
          <w:i w:val="0"/>
        </w:rPr>
        <w:t>Judah carefully recounts the earlier interview: Joseph asked about their father and younger brother; they explained that the younger son was especially loved because his brother was dead; and Joseph insisted that Benjamin be brought down. The point is not technical blame-shifting but an appeal to compassion: Benjamin is present because the governor made his appearance the condition of further access.</w:t>
      </w:r>
    </w:p>
    <w:p>
      <w:pPr>
        <w:pStyle w:val="Heading2"/>
      </w:pPr>
      <w:r>
        <w:t>Genesis 44:24–29 — Judah now feels Jacob’s grief</w:t>
      </w:r>
    </w:p>
    <w:p>
      <w:pPr/>
      <w:r>
        <w:rPr>
          <w:i w:val="0"/>
        </w:rPr>
        <w:t>Judah recounts the family’s return to Canaan, the renewed need for food, and Jacob’s anguished account of Rachel’s two sons. One was believed torn in pieces; if the other were lost, Jacob said his gray hairs would go down to Sheol in sorrow. Joseph hears for the first time how Jacob understood his disappearance.</w:t>
      </w:r>
    </w:p>
    <w:p>
      <w:pPr/>
      <w:r>
        <w:rPr>
          <w:i w:val="0"/>
        </w:rPr>
        <w:t>Judah now speaks tenderly about the grief his own earlier action helped create. The contrast with Genesis 37 is profound: the same man who once allowed Jacob to conclude that Joseph was dead is now desperate to prevent another wound to his father.</w:t>
      </w:r>
    </w:p>
    <w:p>
      <w:pPr>
        <w:pStyle w:val="Heading2"/>
      </w:pPr>
      <w:r>
        <w:t>Genesis 44:30–31 — “his life is bound up in the lad’s life”</w:t>
      </w:r>
    </w:p>
    <w:p>
      <w:pPr/>
      <w:r>
        <w:rPr>
          <w:i w:val="0"/>
        </w:rPr>
        <w:t>Judah says Jacob’s nephesh is bound up with Benjamin’s nephesh - his life is bound with the young man’s life. Nephesh here plainly means life/person, not an independently conscious immortal soul. Judah believes Benjamin’s absence could cause Jacob to die of grief.</w:t>
      </w:r>
    </w:p>
    <w:p>
      <w:pPr>
        <w:pStyle w:val="Heading2"/>
      </w:pPr>
      <w:r>
        <w:t>Genesis 44:32 — Judah remembers his suretyship</w:t>
      </w:r>
    </w:p>
    <w:p>
      <w:pPr/>
      <w:r>
        <w:rPr>
          <w:i w:val="0"/>
        </w:rPr>
        <w:t>Judah repeats the pledge of Genesis 43:9: he became surety for Benjamin and will bear blame if he does not restore him. “For ever” in the KJV reflects the idiom of bearing the blame all his days, not a technical statement that eternal salvation has been wagered.</w:t>
      </w:r>
    </w:p>
    <w:p>
      <w:pPr>
        <w:pStyle w:val="Heading2"/>
      </w:pPr>
      <w:r>
        <w:t>Genesis 44:33 — “let thy servant abide instead of the lad”</w:t>
      </w:r>
    </w:p>
    <w:p>
      <w:pPr/>
      <w:r>
        <w:rPr>
          <w:i w:val="0"/>
        </w:rPr>
        <w:t>Judah offers himself as bondman in Benjamin’s place and asks that Benjamin return with his brothers. This is the moral climax of the testing process. Judah is now willing to lose his own liberty so that the favoured brother can go free.</w:t>
      </w:r>
    </w:p>
    <w:p>
      <w:pPr/>
      <w:r>
        <w:rPr>
          <w:i w:val="0"/>
        </w:rPr>
        <w:t>The substitution is not a sacrificial atonement in the technical sense, but it creates an important biblical pattern of suretyship and self-giving responsibility. It also provides strong background for the later prominence of Judah’s line.</w:t>
      </w:r>
    </w:p>
    <w:p>
      <w:pPr>
        <w:pStyle w:val="Heading2"/>
      </w:pPr>
      <w:r>
        <w:t>Genesis 44:34 — concern for father and brother replaces self-preservation</w:t>
      </w:r>
    </w:p>
    <w:p>
      <w:pPr/>
      <w:r>
        <w:rPr>
          <w:i w:val="0"/>
        </w:rPr>
        <w:t>Judah’s final question is, “How shall I go up to my father, and the lad be not with me?” He cannot bear to witness the evil that would come upon Jacob. Joseph now has the evidence he sought: the old jealousy and callous self-interest no longer govern the brothers’ response.</w:t>
      </w:r>
    </w:p>
    <w:p>
      <w:pPr>
        <w:pStyle w:val="Heading1"/>
      </w:pPr>
      <w:r>
        <w:t>PRINCIPAL THEMES</w:t>
      </w:r>
    </w:p>
    <w:p>
      <w:pPr>
        <w:ind w:left="259" w:hanging="202"/>
      </w:pPr>
      <w:r>
        <w:rPr>
          <w:b/>
        </w:rPr>
        <w:t xml:space="preserve">• </w:t>
      </w:r>
      <w:r>
        <w:t>Joseph’s policy is a character test, not revenge or genuine belief that Benjamin stole the cup.</w:t>
      </w:r>
    </w:p>
    <w:p>
      <w:pPr>
        <w:ind w:left="259" w:hanging="202"/>
      </w:pPr>
      <w:r>
        <w:rPr>
          <w:b/>
        </w:rPr>
        <w:t xml:space="preserve">• </w:t>
      </w:r>
      <w:r>
        <w:t>The brothers are given a credible opportunity to abandon Benjamin and save themselves.</w:t>
      </w:r>
    </w:p>
    <w:p>
      <w:pPr>
        <w:ind w:left="259" w:hanging="202"/>
      </w:pPr>
      <w:r>
        <w:rPr>
          <w:b/>
        </w:rPr>
        <w:t xml:space="preserve">• </w:t>
      </w:r>
      <w:r>
        <w:t>Their immediate corporate return proves substantial change before Judah even speaks.</w:t>
      </w:r>
    </w:p>
    <w:p>
      <w:pPr>
        <w:ind w:left="259" w:hanging="202"/>
      </w:pPr>
      <w:r>
        <w:rPr>
          <w:b/>
        </w:rPr>
        <w:t xml:space="preserve">• </w:t>
      </w:r>
      <w:r>
        <w:t>Judah recognises the crisis as God exposing deeper guilt, not merely a false cup charge.</w:t>
      </w:r>
    </w:p>
    <w:p>
      <w:pPr>
        <w:ind w:left="259" w:hanging="202"/>
      </w:pPr>
      <w:r>
        <w:rPr>
          <w:b/>
        </w:rPr>
        <w:t xml:space="preserve">• </w:t>
      </w:r>
      <w:r>
        <w:t>Concern for Jacob now governs the man whose earlier actions intensified Jacob’s grief.</w:t>
      </w:r>
    </w:p>
    <w:p>
      <w:pPr>
        <w:ind w:left="259" w:hanging="202"/>
      </w:pPr>
      <w:r>
        <w:rPr>
          <w:b/>
        </w:rPr>
        <w:t xml:space="preserve">• </w:t>
      </w:r>
      <w:r>
        <w:t>Judah moves from selling one brother into slavery to offering himself as slave for another.</w:t>
      </w:r>
    </w:p>
    <w:p>
      <w:pPr>
        <w:ind w:left="259" w:hanging="202"/>
      </w:pPr>
      <w:r>
        <w:rPr>
          <w:b/>
        </w:rPr>
        <w:t xml:space="preserve">• </w:t>
      </w:r>
      <w:r>
        <w:t>Suretyship becomes self-sacrifice, making Joseph’s self-revelation morally possible.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44:2</w:t>
            </w:r>
          </w:p>
        </w:tc>
        <w:tc>
          <w:tcPr>
            <w:tcW w:type="dxa" w:w="3552"/>
            <w:vAlign w:val="top"/>
          </w:tcPr>
          <w:p>
            <w:pPr>
              <w:spacing w:after="0"/>
            </w:pPr>
            <w:r>
              <w:rPr>
                <w:rFonts w:ascii="Times New Roman" w:hAnsi="Times New Roman"/>
                <w:sz w:val="15"/>
              </w:rPr>
              <w:t>silver cup</w:t>
            </w:r>
          </w:p>
        </w:tc>
        <w:tc>
          <w:tcPr>
            <w:tcW w:type="dxa" w:w="3552"/>
            <w:vAlign w:val="top"/>
          </w:tcPr>
          <w:p>
            <w:pPr>
              <w:spacing w:after="0"/>
            </w:pPr>
            <w:r>
              <w:rPr>
                <w:rFonts w:ascii="Times New Roman" w:hAnsi="Times New Roman"/>
                <w:sz w:val="15"/>
              </w:rPr>
              <w:t>Literal test-object primary; redemption/cup-of-blessing symbolism kept typological.</w:t>
            </w:r>
          </w:p>
        </w:tc>
      </w:tr>
      <w:tr>
        <w:tc>
          <w:tcPr>
            <w:tcW w:type="dxa" w:w="3552"/>
            <w:vAlign w:val="top"/>
          </w:tcPr>
          <w:p>
            <w:pPr>
              <w:spacing w:after="0"/>
            </w:pPr>
            <w:r>
              <w:rPr>
                <w:rFonts w:ascii="Times New Roman" w:hAnsi="Times New Roman"/>
                <w:sz w:val="15"/>
              </w:rPr>
              <w:t>Gen. 44:5,15</w:t>
            </w:r>
          </w:p>
        </w:tc>
        <w:tc>
          <w:tcPr>
            <w:tcW w:type="dxa" w:w="3552"/>
            <w:vAlign w:val="top"/>
          </w:tcPr>
          <w:p>
            <w:pPr>
              <w:spacing w:after="0"/>
            </w:pPr>
            <w:r>
              <w:rPr>
                <w:rFonts w:ascii="Times New Roman" w:hAnsi="Times New Roman"/>
                <w:sz w:val="15"/>
              </w:rPr>
              <w:t>nachash</w:t>
            </w:r>
          </w:p>
        </w:tc>
        <w:tc>
          <w:tcPr>
            <w:tcW w:type="dxa" w:w="3552"/>
            <w:vAlign w:val="top"/>
          </w:tcPr>
          <w:p>
            <w:pPr>
              <w:spacing w:after="0"/>
            </w:pPr>
            <w:r>
              <w:rPr>
                <w:rFonts w:ascii="Times New Roman" w:hAnsi="Times New Roman"/>
                <w:sz w:val="15"/>
              </w:rPr>
              <w:t>Can denote divination/omens or discerning by signs; Joseph is not shown deriving revelation from the cup.</w:t>
            </w:r>
          </w:p>
        </w:tc>
      </w:tr>
      <w:tr>
        <w:tc>
          <w:tcPr>
            <w:tcW w:type="dxa" w:w="3552"/>
            <w:vAlign w:val="top"/>
          </w:tcPr>
          <w:p>
            <w:pPr>
              <w:spacing w:after="0"/>
            </w:pPr>
            <w:r>
              <w:rPr>
                <w:rFonts w:ascii="Times New Roman" w:hAnsi="Times New Roman"/>
                <w:sz w:val="15"/>
              </w:rPr>
              <w:t>Gen. 44:7,17</w:t>
            </w:r>
          </w:p>
        </w:tc>
        <w:tc>
          <w:tcPr>
            <w:tcW w:type="dxa" w:w="3552"/>
            <w:vAlign w:val="top"/>
          </w:tcPr>
          <w:p>
            <w:pPr>
              <w:spacing w:after="0"/>
            </w:pPr>
            <w:r>
              <w:rPr>
                <w:rFonts w:ascii="Times New Roman" w:hAnsi="Times New Roman"/>
                <w:sz w:val="15"/>
              </w:rPr>
              <w:t>“Far be it”</w:t>
            </w:r>
          </w:p>
        </w:tc>
        <w:tc>
          <w:tcPr>
            <w:tcW w:type="dxa" w:w="3552"/>
            <w:vAlign w:val="top"/>
          </w:tcPr>
          <w:p>
            <w:pPr>
              <w:spacing w:after="0"/>
            </w:pPr>
            <w:r>
              <w:rPr>
                <w:rFonts w:ascii="Times New Roman" w:hAnsi="Times New Roman"/>
                <w:sz w:val="15"/>
              </w:rPr>
              <w:t>Corrects KJV idiom “God forbid”; the Divine name is not in the Hebrew expression.</w:t>
            </w:r>
          </w:p>
        </w:tc>
      </w:tr>
      <w:tr>
        <w:tc>
          <w:tcPr>
            <w:tcW w:type="dxa" w:w="3552"/>
            <w:vAlign w:val="top"/>
          </w:tcPr>
          <w:p>
            <w:pPr>
              <w:spacing w:after="0"/>
            </w:pPr>
            <w:r>
              <w:rPr>
                <w:rFonts w:ascii="Times New Roman" w:hAnsi="Times New Roman"/>
                <w:sz w:val="15"/>
              </w:rPr>
              <w:t>Gen. 44:9–10</w:t>
            </w:r>
          </w:p>
        </w:tc>
        <w:tc>
          <w:tcPr>
            <w:tcW w:type="dxa" w:w="3552"/>
            <w:vAlign w:val="top"/>
          </w:tcPr>
          <w:p>
            <w:pPr>
              <w:spacing w:after="0"/>
            </w:pPr>
            <w:r>
              <w:rPr>
                <w:rFonts w:ascii="Times New Roman" w:hAnsi="Times New Roman"/>
                <w:sz w:val="15"/>
              </w:rPr>
              <w:t>penalty narrowed</w:t>
            </w:r>
          </w:p>
        </w:tc>
        <w:tc>
          <w:tcPr>
            <w:tcW w:type="dxa" w:w="3552"/>
            <w:vAlign w:val="top"/>
          </w:tcPr>
          <w:p>
            <w:pPr>
              <w:spacing w:after="0"/>
            </w:pPr>
            <w:r>
              <w:rPr>
                <w:rFonts w:ascii="Times New Roman" w:hAnsi="Times New Roman"/>
                <w:sz w:val="15"/>
              </w:rPr>
              <w:t>Brothers rashly offer death + slavery; steward limits liability to cup-holder.</w:t>
            </w:r>
          </w:p>
        </w:tc>
      </w:tr>
      <w:tr>
        <w:tc>
          <w:tcPr>
            <w:tcW w:type="dxa" w:w="3552"/>
            <w:vAlign w:val="top"/>
          </w:tcPr>
          <w:p>
            <w:pPr>
              <w:spacing w:after="0"/>
            </w:pPr>
            <w:r>
              <w:rPr>
                <w:rFonts w:ascii="Times New Roman" w:hAnsi="Times New Roman"/>
                <w:sz w:val="15"/>
              </w:rPr>
              <w:t>Gen. 44:12</w:t>
            </w:r>
          </w:p>
        </w:tc>
        <w:tc>
          <w:tcPr>
            <w:tcW w:type="dxa" w:w="3552"/>
            <w:vAlign w:val="top"/>
          </w:tcPr>
          <w:p>
            <w:pPr>
              <w:spacing w:after="0"/>
            </w:pPr>
            <w:r>
              <w:rPr>
                <w:rFonts w:ascii="Times New Roman" w:hAnsi="Times New Roman"/>
                <w:sz w:val="15"/>
              </w:rPr>
              <w:t>eldest to youngest</w:t>
            </w:r>
          </w:p>
        </w:tc>
        <w:tc>
          <w:tcPr>
            <w:tcW w:type="dxa" w:w="3552"/>
            <w:vAlign w:val="top"/>
          </w:tcPr>
          <w:p>
            <w:pPr>
              <w:spacing w:after="0"/>
            </w:pPr>
            <w:r>
              <w:rPr>
                <w:rFonts w:ascii="Times New Roman" w:hAnsi="Times New Roman"/>
                <w:sz w:val="15"/>
              </w:rPr>
              <w:t>Deliberate search order heightens tension and again implies detailed knowledge.</w:t>
            </w:r>
          </w:p>
        </w:tc>
      </w:tr>
      <w:tr>
        <w:tc>
          <w:tcPr>
            <w:tcW w:type="dxa" w:w="3552"/>
            <w:vAlign w:val="top"/>
          </w:tcPr>
          <w:p>
            <w:pPr>
              <w:spacing w:after="0"/>
            </w:pPr>
            <w:r>
              <w:rPr>
                <w:rFonts w:ascii="Times New Roman" w:hAnsi="Times New Roman"/>
                <w:sz w:val="15"/>
              </w:rPr>
              <w:t>Gen. 44:13</w:t>
            </w:r>
          </w:p>
        </w:tc>
        <w:tc>
          <w:tcPr>
            <w:tcW w:type="dxa" w:w="3552"/>
            <w:vAlign w:val="top"/>
          </w:tcPr>
          <w:p>
            <w:pPr>
              <w:spacing w:after="0"/>
            </w:pPr>
            <w:r>
              <w:rPr>
                <w:rFonts w:ascii="Times New Roman" w:hAnsi="Times New Roman"/>
                <w:sz w:val="15"/>
              </w:rPr>
              <w:t>all return</w:t>
            </w:r>
          </w:p>
        </w:tc>
        <w:tc>
          <w:tcPr>
            <w:tcW w:type="dxa" w:w="3552"/>
            <w:vAlign w:val="top"/>
          </w:tcPr>
          <w:p>
            <w:pPr>
              <w:spacing w:after="0"/>
            </w:pPr>
            <w:r>
              <w:rPr>
                <w:rFonts w:ascii="Times New Roman" w:hAnsi="Times New Roman"/>
                <w:sz w:val="15"/>
              </w:rPr>
              <w:t>Key evidence: no brother abandons Benjamin.</w:t>
            </w:r>
          </w:p>
        </w:tc>
      </w:tr>
      <w:tr>
        <w:tc>
          <w:tcPr>
            <w:tcW w:type="dxa" w:w="3552"/>
            <w:vAlign w:val="top"/>
          </w:tcPr>
          <w:p>
            <w:pPr>
              <w:spacing w:after="0"/>
            </w:pPr>
            <w:r>
              <w:rPr>
                <w:rFonts w:ascii="Times New Roman" w:hAnsi="Times New Roman"/>
                <w:sz w:val="15"/>
              </w:rPr>
              <w:t>Gen. 44:16</w:t>
            </w:r>
          </w:p>
        </w:tc>
        <w:tc>
          <w:tcPr>
            <w:tcW w:type="dxa" w:w="3552"/>
            <w:vAlign w:val="top"/>
          </w:tcPr>
          <w:p>
            <w:pPr>
              <w:spacing w:after="0"/>
            </w:pPr>
            <w:r>
              <w:rPr>
                <w:rFonts w:ascii="Times New Roman" w:hAnsi="Times New Roman"/>
                <w:sz w:val="15"/>
              </w:rPr>
              <w:t>ha-Elohim / deeper guilt</w:t>
            </w:r>
          </w:p>
        </w:tc>
        <w:tc>
          <w:tcPr>
            <w:tcW w:type="dxa" w:w="3552"/>
            <w:vAlign w:val="top"/>
          </w:tcPr>
          <w:p>
            <w:pPr>
              <w:spacing w:after="0"/>
            </w:pPr>
            <w:r>
              <w:rPr>
                <w:rFonts w:ascii="Times New Roman" w:hAnsi="Times New Roman"/>
                <w:sz w:val="15"/>
              </w:rPr>
              <w:t>Cup theft is not their sin; Judah interprets crisis as Divine exposure of former iniquity.</w:t>
            </w:r>
          </w:p>
        </w:tc>
      </w:tr>
      <w:tr>
        <w:tc>
          <w:tcPr>
            <w:tcW w:type="dxa" w:w="3552"/>
            <w:vAlign w:val="top"/>
          </w:tcPr>
          <w:p>
            <w:pPr>
              <w:spacing w:after="0"/>
            </w:pPr>
            <w:r>
              <w:rPr>
                <w:rFonts w:ascii="Times New Roman" w:hAnsi="Times New Roman"/>
                <w:sz w:val="15"/>
              </w:rPr>
              <w:t>Gen. 44:17</w:t>
            </w:r>
          </w:p>
        </w:tc>
        <w:tc>
          <w:tcPr>
            <w:tcW w:type="dxa" w:w="3552"/>
            <w:vAlign w:val="top"/>
          </w:tcPr>
          <w:p>
            <w:pPr>
              <w:spacing w:after="0"/>
            </w:pPr>
            <w:r>
              <w:rPr>
                <w:rFonts w:ascii="Times New Roman" w:hAnsi="Times New Roman"/>
                <w:sz w:val="15"/>
              </w:rPr>
              <w:t>peace to father</w:t>
            </w:r>
          </w:p>
        </w:tc>
        <w:tc>
          <w:tcPr>
            <w:tcW w:type="dxa" w:w="3552"/>
            <w:vAlign w:val="top"/>
          </w:tcPr>
          <w:p>
            <w:pPr>
              <w:spacing w:after="0"/>
            </w:pPr>
            <w:r>
              <w:rPr>
                <w:rFonts w:ascii="Times New Roman" w:hAnsi="Times New Roman"/>
                <w:sz w:val="15"/>
              </w:rPr>
              <w:t>Joseph explicitly offers the ten freedom at Benjamin’s expense.</w:t>
            </w:r>
          </w:p>
        </w:tc>
      </w:tr>
      <w:tr>
        <w:tc>
          <w:tcPr>
            <w:tcW w:type="dxa" w:w="3552"/>
            <w:vAlign w:val="top"/>
          </w:tcPr>
          <w:p>
            <w:pPr>
              <w:spacing w:after="0"/>
            </w:pPr>
            <w:r>
              <w:rPr>
                <w:rFonts w:ascii="Times New Roman" w:hAnsi="Times New Roman"/>
                <w:sz w:val="15"/>
              </w:rPr>
              <w:t>Gen. 44:27–29</w:t>
            </w:r>
          </w:p>
        </w:tc>
        <w:tc>
          <w:tcPr>
            <w:tcW w:type="dxa" w:w="3552"/>
            <w:vAlign w:val="top"/>
          </w:tcPr>
          <w:p>
            <w:pPr>
              <w:spacing w:after="0"/>
            </w:pPr>
            <w:r>
              <w:rPr>
                <w:rFonts w:ascii="Times New Roman" w:hAnsi="Times New Roman"/>
                <w:sz w:val="15"/>
              </w:rPr>
              <w:t>Joseph hears Jacob’s version</w:t>
            </w:r>
          </w:p>
        </w:tc>
        <w:tc>
          <w:tcPr>
            <w:tcW w:type="dxa" w:w="3552"/>
            <w:vAlign w:val="top"/>
          </w:tcPr>
          <w:p>
            <w:pPr>
              <w:spacing w:after="0"/>
            </w:pPr>
            <w:r>
              <w:rPr>
                <w:rFonts w:ascii="Times New Roman" w:hAnsi="Times New Roman"/>
                <w:sz w:val="15"/>
              </w:rPr>
              <w:t>Judah’s quotation tells Joseph how his father interpreted the disappearance.</w:t>
            </w:r>
          </w:p>
        </w:tc>
      </w:tr>
      <w:tr>
        <w:tc>
          <w:tcPr>
            <w:tcW w:type="dxa" w:w="3552"/>
            <w:vAlign w:val="top"/>
          </w:tcPr>
          <w:p>
            <w:pPr>
              <w:spacing w:after="0"/>
            </w:pPr>
            <w:r>
              <w:rPr>
                <w:rFonts w:ascii="Times New Roman" w:hAnsi="Times New Roman"/>
                <w:sz w:val="15"/>
              </w:rPr>
              <w:t>Gen. 44:30</w:t>
            </w:r>
          </w:p>
        </w:tc>
        <w:tc>
          <w:tcPr>
            <w:tcW w:type="dxa" w:w="3552"/>
            <w:vAlign w:val="top"/>
          </w:tcPr>
          <w:p>
            <w:pPr>
              <w:spacing w:after="0"/>
            </w:pPr>
            <w:r>
              <w:rPr>
                <w:rFonts w:ascii="Times New Roman" w:hAnsi="Times New Roman"/>
                <w:sz w:val="15"/>
              </w:rPr>
              <w:t>nephesh</w:t>
            </w:r>
          </w:p>
        </w:tc>
        <w:tc>
          <w:tcPr>
            <w:tcW w:type="dxa" w:w="3552"/>
            <w:vAlign w:val="top"/>
          </w:tcPr>
          <w:p>
            <w:pPr>
              <w:spacing w:after="0"/>
            </w:pPr>
            <w:r>
              <w:rPr>
                <w:rFonts w:ascii="Times New Roman" w:hAnsi="Times New Roman"/>
                <w:sz w:val="15"/>
              </w:rPr>
              <w:t>Life/person in both clauses: Jacob’s life bound up with Benjamin’s.</w:t>
            </w:r>
          </w:p>
        </w:tc>
      </w:tr>
      <w:tr>
        <w:tc>
          <w:tcPr>
            <w:tcW w:type="dxa" w:w="3552"/>
            <w:vAlign w:val="top"/>
          </w:tcPr>
          <w:p>
            <w:pPr>
              <w:spacing w:after="0"/>
            </w:pPr>
            <w:r>
              <w:rPr>
                <w:rFonts w:ascii="Times New Roman" w:hAnsi="Times New Roman"/>
                <w:sz w:val="15"/>
              </w:rPr>
              <w:t>Gen. 44:32</w:t>
            </w:r>
          </w:p>
        </w:tc>
        <w:tc>
          <w:tcPr>
            <w:tcW w:type="dxa" w:w="3552"/>
            <w:vAlign w:val="top"/>
          </w:tcPr>
          <w:p>
            <w:pPr>
              <w:spacing w:after="0"/>
            </w:pPr>
            <w:r>
              <w:rPr>
                <w:rFonts w:ascii="Times New Roman" w:hAnsi="Times New Roman"/>
                <w:sz w:val="15"/>
              </w:rPr>
              <w:t>surety</w:t>
            </w:r>
          </w:p>
        </w:tc>
        <w:tc>
          <w:tcPr>
            <w:tcW w:type="dxa" w:w="3552"/>
            <w:vAlign w:val="top"/>
          </w:tcPr>
          <w:p>
            <w:pPr>
              <w:spacing w:after="0"/>
            </w:pPr>
            <w:r>
              <w:rPr>
                <w:rFonts w:ascii="Times New Roman" w:hAnsi="Times New Roman"/>
                <w:sz w:val="15"/>
              </w:rPr>
              <w:t>Direct return to Judah’s pledge in Gen. 43:9.</w:t>
            </w:r>
          </w:p>
        </w:tc>
      </w:tr>
      <w:tr>
        <w:tc>
          <w:tcPr>
            <w:tcW w:type="dxa" w:w="3552"/>
            <w:vAlign w:val="top"/>
          </w:tcPr>
          <w:p>
            <w:pPr>
              <w:spacing w:after="0"/>
            </w:pPr>
            <w:r>
              <w:rPr>
                <w:rFonts w:ascii="Times New Roman" w:hAnsi="Times New Roman"/>
                <w:sz w:val="15"/>
              </w:rPr>
              <w:t>Gen. 44:32</w:t>
            </w:r>
          </w:p>
        </w:tc>
        <w:tc>
          <w:tcPr>
            <w:tcW w:type="dxa" w:w="3552"/>
            <w:vAlign w:val="top"/>
          </w:tcPr>
          <w:p>
            <w:pPr>
              <w:spacing w:after="0"/>
            </w:pPr>
            <w:r>
              <w:rPr>
                <w:rFonts w:ascii="Times New Roman" w:hAnsi="Times New Roman"/>
                <w:sz w:val="15"/>
              </w:rPr>
              <w:t>“all my days” sense</w:t>
            </w:r>
          </w:p>
        </w:tc>
        <w:tc>
          <w:tcPr>
            <w:tcW w:type="dxa" w:w="3552"/>
            <w:vAlign w:val="top"/>
          </w:tcPr>
          <w:p>
            <w:pPr>
              <w:spacing w:after="0"/>
            </w:pPr>
            <w:r>
              <w:rPr>
                <w:rFonts w:ascii="Times New Roman" w:hAnsi="Times New Roman"/>
                <w:sz w:val="15"/>
              </w:rPr>
              <w:t>Lifelong blame/guilt; eternal-salvation language is interpretive overstatement.</w:t>
            </w:r>
          </w:p>
        </w:tc>
      </w:tr>
      <w:tr>
        <w:tc>
          <w:tcPr>
            <w:tcW w:type="dxa" w:w="3552"/>
            <w:vAlign w:val="top"/>
          </w:tcPr>
          <w:p>
            <w:pPr>
              <w:spacing w:after="0"/>
            </w:pPr>
            <w:r>
              <w:rPr>
                <w:rFonts w:ascii="Times New Roman" w:hAnsi="Times New Roman"/>
                <w:sz w:val="15"/>
              </w:rPr>
              <w:t>Gen. 44:33</w:t>
            </w:r>
          </w:p>
        </w:tc>
        <w:tc>
          <w:tcPr>
            <w:tcW w:type="dxa" w:w="3552"/>
            <w:vAlign w:val="top"/>
          </w:tcPr>
          <w:p>
            <w:pPr>
              <w:spacing w:after="0"/>
            </w:pPr>
            <w:r>
              <w:rPr>
                <w:rFonts w:ascii="Times New Roman" w:hAnsi="Times New Roman"/>
                <w:sz w:val="15"/>
              </w:rPr>
              <w:t>instead of the lad</w:t>
            </w:r>
          </w:p>
        </w:tc>
        <w:tc>
          <w:tcPr>
            <w:tcW w:type="dxa" w:w="3552"/>
            <w:vAlign w:val="top"/>
          </w:tcPr>
          <w:p>
            <w:pPr>
              <w:spacing w:after="0"/>
            </w:pPr>
            <w:r>
              <w:rPr>
                <w:rFonts w:ascii="Times New Roman" w:hAnsi="Times New Roman"/>
                <w:sz w:val="15"/>
              </w:rPr>
              <w:t>Genuine substitution of Judah’s liberty for Benjamin’s, not technical sacrificial atonement.</w:t>
            </w:r>
          </w:p>
        </w:tc>
      </w:tr>
      <w:tr>
        <w:tc>
          <w:tcPr>
            <w:tcW w:type="dxa" w:w="3552"/>
            <w:vAlign w:val="top"/>
          </w:tcPr>
          <w:p>
            <w:pPr>
              <w:spacing w:after="0"/>
            </w:pPr>
            <w:r>
              <w:rPr>
                <w:rFonts w:ascii="Times New Roman" w:hAnsi="Times New Roman"/>
                <w:sz w:val="15"/>
              </w:rPr>
              <w:t>Gen. 44:34</w:t>
            </w:r>
          </w:p>
        </w:tc>
        <w:tc>
          <w:tcPr>
            <w:tcW w:type="dxa" w:w="3552"/>
            <w:vAlign w:val="top"/>
          </w:tcPr>
          <w:p>
            <w:pPr>
              <w:spacing w:after="0"/>
            </w:pPr>
            <w:r>
              <w:rPr>
                <w:rFonts w:ascii="Times New Roman" w:hAnsi="Times New Roman"/>
                <w:sz w:val="15"/>
              </w:rPr>
              <w:t>Gen. 37:26–27 contrast</w:t>
            </w:r>
          </w:p>
        </w:tc>
        <w:tc>
          <w:tcPr>
            <w:tcW w:type="dxa" w:w="3552"/>
            <w:vAlign w:val="top"/>
          </w:tcPr>
          <w:p>
            <w:pPr>
              <w:spacing w:after="0"/>
            </w:pPr>
            <w:r>
              <w:rPr>
                <w:rFonts w:ascii="Times New Roman" w:hAnsi="Times New Roman"/>
                <w:sz w:val="15"/>
              </w:rPr>
              <w:t>Judah’s concern for father/brother demonstrates the central character transformation.</w:t>
            </w:r>
          </w:p>
        </w:tc>
      </w:tr>
    </w:tbl>
    <w:p>
      <w:pPr>
        <w:pStyle w:val="Heading1"/>
      </w:pPr>
      <w:r>
        <w:t>RESIDUAL UNCERTAINTIES</w:t>
      </w:r>
    </w:p>
    <w:p>
      <w:pPr/>
      <w:r>
        <w:rPr>
          <w:i w:val="0"/>
        </w:rPr>
        <w:t>Genesis does not state precisely how the steward or brothers understood Joseph’s language of divination, and it should not be used to accuse Joseph of occult practice. The cup’s elaborate redemption symbolism and later national applications are Mansfield’s typology. Judah’s offer is clearly substitutionary at the level of slavery and family responsibility, but Genesis 44 does not itself define it as a sacrificial atonement.</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