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45</w:t>
      </w:r>
    </w:p>
    <w:p>
      <w:pPr>
        <w:pStyle w:val="Subtitle"/>
      </w:pPr>
      <w:r>
        <w:t>“I AM JOSEPH” • PROVIDENCE AND FORGIVENESS • THE FAMILY INVITED TO GOSHEN • GIFTS FOR THE JOURNEY • JACOB REVIVES</w:t>
      </w:r>
    </w:p>
    <w:p>
      <w:pPr/>
      <w:r>
        <w:rPr>
          <w:i/>
        </w:rPr>
        <w:t>H. P. Mansfield Bible notes — checked and arranged in verse-by-verse Expositor style</w:t>
      </w:r>
    </w:p>
    <w:p>
      <w:pPr/>
      <w:r>
        <w:rPr>
          <w:i w:val="0"/>
        </w:rPr>
        <w:t>Source: HPB 02-Gen42-Lev11.pdf, principally Genesis 45 photographed pages 6–7</w:t>
      </w:r>
    </w:p>
    <w:p>
      <w:pPr>
        <w:pStyle w:val="Heading1"/>
      </w:pPr>
      <w:r>
        <w:t>CHAPTER OVERVIEW</w:t>
      </w:r>
    </w:p>
    <w:p>
      <w:pPr/>
      <w:r>
        <w:rPr>
          <w:i w:val="0"/>
        </w:rPr>
        <w:t>Judah’s self-sacrificing plea has answered Joseph’s final question about his brothers’ character. Joseph can no longer restrain himself and reveals his identity. The revelation begins with fear, but moves rapidly through invitation, acknowledgement of the past, an interpretation of providence, forgiveness and restored fellowship.</w:t>
      </w:r>
    </w:p>
    <w:p>
      <w:pPr/>
      <w:r>
        <w:rPr>
          <w:i w:val="0"/>
        </w:rPr>
        <w:t>The chapter gives the inspired interpretation of Joseph’s entire Egyptian experience: the brothers really did sell him, and therefore remain responsible; yet God overruled their sin and “sent” Joseph ahead in a different and higher sense, to preserve life and preserve the covenant family. Providence does not convert evil into righteousness, but it can make human evil serve a saving purpose it never intended.</w:t>
      </w:r>
    </w:p>
    <w:p>
      <w:pPr>
        <w:pStyle w:val="Heading1"/>
      </w:pPr>
      <w:r>
        <w:t>JOSEPH REVEALS HIMSELF — GENESIS 45:1–15</w:t>
      </w:r>
    </w:p>
    <w:p>
      <w:pPr>
        <w:pStyle w:val="Heading2"/>
      </w:pPr>
      <w:r>
        <w:t>Genesis 45:1–2 — private revelation and public weeping</w:t>
      </w:r>
    </w:p>
    <w:p>
      <w:pPr/>
      <w:r>
        <w:rPr>
          <w:i w:val="0"/>
        </w:rPr>
        <w:t>Joseph orders every Egyptian attendant out before making himself known. He does not expose the brothers’ crime before the court. The reconciliation is treated as a family matter. His weeping is nevertheless so loud that the Egyptians hear and the report reaches Pharaoh’s house. The intensity confirms that the preceding severity was never vindictive.</w:t>
      </w:r>
    </w:p>
    <w:p>
      <w:pPr>
        <w:pStyle w:val="Heading2"/>
      </w:pPr>
      <w:r>
        <w:t>Genesis 45:3 — “I am Joseph”</w:t>
      </w:r>
    </w:p>
    <w:p>
      <w:pPr/>
      <w:r>
        <w:rPr>
          <w:i w:val="0"/>
        </w:rPr>
        <w:t>Joseph’s first words are direct: “I am Joseph; doth my father yet live?” The brothers cannot answer because they are bahal - alarmed, dismayed or terrified - before him. The brother they sold as powerless now stands over them with the authority of Egypt. Revelation therefore produces fear before comfort.</w:t>
      </w:r>
    </w:p>
    <w:p>
      <w:pPr>
        <w:pStyle w:val="Heading2"/>
      </w:pPr>
      <w:r>
        <w:t>Genesis 45:4 — “Come near to me”</w:t>
      </w:r>
    </w:p>
    <w:p>
      <w:pPr/>
      <w:r>
        <w:rPr>
          <w:i w:val="0"/>
        </w:rPr>
        <w:t>Joseph invites them near and repeats, “I am Joseph your brother, whom ye sold into Egypt.” Reconciliation does not require pretending the offence never occurred. Joseph names both relationship and wrongdoing, then draws the offenders nearer rather than driving them away.</w:t>
      </w:r>
    </w:p>
    <w:p>
      <w:pPr>
        <w:pStyle w:val="Heading2"/>
      </w:pPr>
      <w:r>
        <w:t>Genesis 45:5 — God sent me before you to preserve life</w:t>
      </w:r>
    </w:p>
    <w:p>
      <w:pPr/>
      <w:r>
        <w:rPr>
          <w:i w:val="0"/>
        </w:rPr>
        <w:t>Joseph tells them not to remain consumed by grief or self-anger over having sold him, because “God did send me before you to preserve life.” This is not a declaration that their sale was morally right. Genesis 50:20 will state both levels together: they meant evil; God meant the outcome for good.</w:t>
      </w:r>
    </w:p>
    <w:p>
      <w:pPr>
        <w:pStyle w:val="Heading2"/>
      </w:pPr>
      <w:r>
        <w:t>Genesis 45:6 — two years passed, five still to come</w:t>
      </w:r>
    </w:p>
    <w:p>
      <w:pPr/>
      <w:r>
        <w:rPr>
          <w:i w:val="0"/>
        </w:rPr>
        <w:t>Two famine years have passed and five remain. The KJV “neither earing nor harvest” uses old English: “earing” means ploughing/tilling, not hearing. The severity and duration make immediate relocation of Jacob’s household necessary.</w:t>
      </w:r>
    </w:p>
    <w:p>
      <w:pPr>
        <w:pStyle w:val="Heading2"/>
      </w:pPr>
      <w:r>
        <w:t>Genesis 45:7 — remnant and great deliverance</w:t>
      </w:r>
    </w:p>
    <w:p>
      <w:pPr/>
      <w:r>
        <w:rPr>
          <w:i w:val="0"/>
        </w:rPr>
        <w:t>Joseph says God sent him ahead “to preserve you a posterity in the earth, and to save your lives by a great deliverance.” The Hebrew she’erith is better “remnant/survivors” than modern “posterity.” The purpose is the preservation of the covenant family through a famine that might otherwise destroy it.</w:t>
      </w:r>
    </w:p>
    <w:p>
      <w:pPr>
        <w:pStyle w:val="Heading2"/>
      </w:pPr>
      <w:r>
        <w:t>Genesis 45:8 — “not you ... but God”</w:t>
      </w:r>
    </w:p>
    <w:p>
      <w:pPr/>
      <w:r>
        <w:rPr>
          <w:i w:val="0"/>
        </w:rPr>
        <w:t>“It was not you that sent me hither, but God” describes ultimate providential purpose, not the denial of human agency. Psalm 105:17 combines the two perspectives: God “sent a man before them, even Joseph, who was sold for a servant.” Joseph’s brothers sent him toward slavery; God sent him toward preservation and authority.</w:t>
      </w:r>
    </w:p>
    <w:p>
      <w:pPr/>
      <w:r>
        <w:rPr>
          <w:i w:val="0"/>
        </w:rPr>
        <w:t>Joseph has become “a father to Pharaoh,” best understood as a trusted counsellor, protector or senior statesman rather than Pharaoh’s literal father, as well as lord over Pharaoh’s house and ruler in Egypt.</w:t>
      </w:r>
    </w:p>
    <w:p>
      <w:pPr>
        <w:pStyle w:val="Heading2"/>
      </w:pPr>
      <w:r>
        <w:t>Genesis 45:9–11 — come to Goshen without delay</w:t>
      </w:r>
    </w:p>
    <w:p>
      <w:pPr/>
      <w:r>
        <w:rPr>
          <w:i w:val="0"/>
        </w:rPr>
        <w:t>Joseph commands an urgent message to Jacob: God has made Joseph lord in Egypt; Jacob must come down and live in Goshen near him with family, flocks and possessions. Joseph promises to sustain them through the remaining famine. The verb kul can mean sustain, maintain or provide for, broader than merely supplying meals.</w:t>
      </w:r>
    </w:p>
    <w:p>
      <w:pPr/>
      <w:r>
        <w:rPr>
          <w:i w:val="0"/>
        </w:rPr>
        <w:t>Goshen is in the eastern Nile Delta and was suitable for pastoral settlement. More exact reconstructions of its ancient boundaries vary and should not be made essential to the exposition.</w:t>
      </w:r>
    </w:p>
    <w:p>
      <w:pPr>
        <w:pStyle w:val="Heading2"/>
      </w:pPr>
      <w:r>
        <w:t>Genesis 45:12–13 — the brothers become witnesses</w:t>
      </w:r>
    </w:p>
    <w:p>
      <w:pPr/>
      <w:r>
        <w:rPr>
          <w:i w:val="0"/>
        </w:rPr>
        <w:t>Joseph points to the evidence of their own eyes and especially Benjamin’s: it is Joseph’s own mouth speaking. They are to tell Jacob of Joseph’s glory and everything they have witnessed. The former conspirators are now commissioned to bear truthful witness to the exaltation of the brother they had once removed.</w:t>
      </w:r>
    </w:p>
    <w:p>
      <w:pPr>
        <w:pStyle w:val="Heading2"/>
      </w:pPr>
      <w:r>
        <w:t>Genesis 45:14–15 — restored affection and restored speech</w:t>
      </w:r>
    </w:p>
    <w:p>
      <w:pPr/>
      <w:r>
        <w:rPr>
          <w:i w:val="0"/>
        </w:rPr>
        <w:t>Joseph and Benjamin weep upon one another, then Joseph kisses and weeps over all his brothers. “After that his brethren talked with him.” Genesis 37:4 said they could not speak peaceably to Joseph; after confession, testing and forgiveness, ordinary fellowship and speech become possible again.</w:t>
      </w:r>
    </w:p>
    <w:p>
      <w:pPr>
        <w:pStyle w:val="Heading1"/>
      </w:pPr>
      <w:r>
        <w:t>PHARAOH INVITES THE FAMILY — GENESIS 45:16–24</w:t>
      </w:r>
    </w:p>
    <w:p>
      <w:pPr>
        <w:pStyle w:val="Heading2"/>
      </w:pPr>
      <w:r>
        <w:t>Genesis 45:16–20 — “the good of all the land of Egypt”</w:t>
      </w:r>
    </w:p>
    <w:p>
      <w:pPr/>
      <w:r>
        <w:rPr>
          <w:i w:val="0"/>
        </w:rPr>
        <w:t>Pharaoh and his servants are pleased by the arrival of Joseph’s family. Pharaoh authorises wagons, commands the family to migrate and promises “the good” and “the fat” of Egypt. They are told not to be anxious over household possessions because Egypt’s resources will provide what they need. The generosity confirms that the migration is not merely Joseph’s private arrangement.</w:t>
      </w:r>
    </w:p>
    <w:p>
      <w:pPr>
        <w:pStyle w:val="Heading2"/>
      </w:pPr>
      <w:r>
        <w:t>Genesis 45:21 — wagons and provisions</w:t>
      </w:r>
    </w:p>
    <w:p>
      <w:pPr/>
      <w:r>
        <w:rPr>
          <w:i w:val="0"/>
        </w:rPr>
        <w:t>Joseph supplies wagons under Pharaoh’s authority and provisions for the journey. The wagons later become the visible evidence that helps Jacob believe the seemingly impossible news.</w:t>
      </w:r>
    </w:p>
    <w:p>
      <w:pPr>
        <w:pStyle w:val="Heading2"/>
      </w:pPr>
      <w:r>
        <w:t>Genesis 45:22 — garments and Benjamin’s special gifts</w:t>
      </w:r>
    </w:p>
    <w:p>
      <w:pPr/>
      <w:r>
        <w:rPr>
          <w:i w:val="0"/>
        </w:rPr>
        <w:t>Each brother receives changes of clothing. Benjamin receives three hundred pieces of silver and five changes of raiment. Benjamin is again conspicuously favoured, but no destructive jealousy is recorded. The tests of Genesis 43–44 have shown that the brothers no longer react to Rachel’s favoured son as they once reacted to Joseph.</w:t>
      </w:r>
    </w:p>
    <w:p>
      <w:pPr/>
      <w:r>
        <w:rPr>
          <w:i w:val="0"/>
        </w:rPr>
        <w:t>Mansfield assigns elaborate priestly symbolism to the five changes of clothing. Genesis simply records multiple sets/changes of garments; priestly meaning is typological rather than lexical.</w:t>
      </w:r>
    </w:p>
    <w:p>
      <w:pPr>
        <w:pStyle w:val="Heading2"/>
      </w:pPr>
      <w:r>
        <w:t>Genesis 45:23 — provision for Jacob</w:t>
      </w:r>
    </w:p>
    <w:p>
      <w:pPr/>
      <w:r>
        <w:rPr>
          <w:i w:val="0"/>
        </w:rPr>
        <w:t>Joseph sends ten male donkeys laden with Egypt’s good things and ten female donkeys carrying grain, bread and provisions for Jacob’s journey. The practical care is as prominent as the emotional reunion.</w:t>
      </w:r>
    </w:p>
    <w:p>
      <w:pPr>
        <w:pStyle w:val="Heading2"/>
      </w:pPr>
      <w:r>
        <w:t>Genesis 45:24 — “Do not quarrel on the way”</w:t>
      </w:r>
    </w:p>
    <w:p>
      <w:pPr/>
      <w:r>
        <w:rPr>
          <w:i w:val="0"/>
        </w:rPr>
        <w:t>Joseph warns, “See that ye fall not out by the way.” The Hebrew ragaz can mean tremble, be agitated or quarrel; in context “do not quarrel/become agitated on the journey” is appropriate. After disclosure of the truth, the brothers could easily fall into recrimination over who bore greatest blame. Joseph’s forgiveness is not to be replaced by mutual accusation.</w:t>
      </w:r>
    </w:p>
    <w:p>
      <w:pPr>
        <w:pStyle w:val="Heading1"/>
      </w:pPr>
      <w:r>
        <w:t>JACOB HEARS THAT JOSEPH LIVES — GENESIS 45:25–28</w:t>
      </w:r>
    </w:p>
    <w:p>
      <w:pPr>
        <w:pStyle w:val="Heading2"/>
      </w:pPr>
      <w:r>
        <w:t>Genesis 45:25–26 — news almost too good to believe</w:t>
      </w:r>
    </w:p>
    <w:p>
      <w:pPr/>
      <w:r>
        <w:rPr>
          <w:i w:val="0"/>
        </w:rPr>
        <w:t>The brothers tell Jacob, “Joseph is yet alive, and he is governor over all the land of Egypt.” Jacob’s heart “fainted” or went numb because he did not believe them. Decades of grief cannot instantly be reversed by words that contradict everything he thinks he knows.</w:t>
      </w:r>
    </w:p>
    <w:p>
      <w:pPr>
        <w:pStyle w:val="Heading2"/>
      </w:pPr>
      <w:r>
        <w:t>Genesis 45:27 — words plus visible evidence</w:t>
      </w:r>
    </w:p>
    <w:p>
      <w:pPr/>
      <w:r>
        <w:rPr>
          <w:i w:val="0"/>
        </w:rPr>
        <w:t>The sons report all Joseph’s words, and Jacob sees the wagons sent to carry him. Then “the spirit of Jacob their father revived.” The revived spirit is renewed vitality/courage after shock, not the return of a separate immortal entity to the body.</w:t>
      </w:r>
    </w:p>
    <w:p>
      <w:pPr>
        <w:pStyle w:val="Heading2"/>
      </w:pPr>
      <w:r>
        <w:t>Genesis 45:28 — “It is enough”</w:t>
      </w:r>
    </w:p>
    <w:p>
      <w:pPr/>
      <w:r>
        <w:rPr>
          <w:i w:val="0"/>
        </w:rPr>
        <w:t>Israel answers, “It is enough; Joseph my son is yet alive: I will go and see him before I die.” The name Israel fittingly appears as faith and purpose revive. The man who recently thought “all these things are against me” now discovers that the darkest events were preparing his greatest earthly joy.</w:t>
      </w:r>
    </w:p>
    <w:p>
      <w:pPr>
        <w:pStyle w:val="Heading1"/>
      </w:pPr>
      <w:r>
        <w:t>JOSEPH AND CHRIST — REVELATION AFTER REJECTION</w:t>
      </w:r>
    </w:p>
    <w:p>
      <w:pPr/>
      <w:r>
        <w:rPr>
          <w:i w:val="0"/>
        </w:rPr>
        <w:t>Mansfield’s central type is strong at the broad level: Joseph is rejected by his brethren, exalted among Gentiles, unrecognised by those brethren for a period, then disclosed at the morally appointed time; fear gives way to invitation and reconciliation; and the rejected one becomes the means of preserving those who rejected him. Acts 7:13 explicitly highlights that Joseph was made known to his brethren “at the second time.” More detailed end-time sequencing remains typological exposition rather than the grammatical meaning of Genesis 45.</w:t>
      </w:r>
    </w:p>
    <w:p>
      <w:pPr>
        <w:pStyle w:val="Heading1"/>
      </w:pPr>
      <w:r>
        <w:t>PRINCIPAL THEMES</w:t>
      </w:r>
    </w:p>
    <w:p>
      <w:pPr>
        <w:ind w:left="259" w:hanging="202"/>
      </w:pPr>
      <w:r>
        <w:rPr>
          <w:b/>
        </w:rPr>
        <w:t xml:space="preserve">• </w:t>
      </w:r>
      <w:r>
        <w:t>Reconciliation becomes possible after repentance has been demonstrated in changed conduct.</w:t>
      </w:r>
    </w:p>
    <w:p>
      <w:pPr>
        <w:ind w:left="259" w:hanging="202"/>
      </w:pPr>
      <w:r>
        <w:rPr>
          <w:b/>
        </w:rPr>
        <w:t xml:space="preserve">• </w:t>
      </w:r>
      <w:r>
        <w:t>Joseph names the brothers’ sin honestly while refusing to keep them trapped in despair.</w:t>
      </w:r>
    </w:p>
    <w:p>
      <w:pPr>
        <w:ind w:left="259" w:hanging="202"/>
      </w:pPr>
      <w:r>
        <w:rPr>
          <w:b/>
        </w:rPr>
        <w:t xml:space="preserve">• </w:t>
      </w:r>
      <w:r>
        <w:t>Divine providence overrules human evil without denying human responsibility.</w:t>
      </w:r>
    </w:p>
    <w:p>
      <w:pPr>
        <w:ind w:left="259" w:hanging="202"/>
      </w:pPr>
      <w:r>
        <w:rPr>
          <w:b/>
        </w:rPr>
        <w:t xml:space="preserve">• </w:t>
      </w:r>
      <w:r>
        <w:t>God sent Joseph ahead to preserve a remnant of the covenant family and save life.</w:t>
      </w:r>
    </w:p>
    <w:p>
      <w:pPr>
        <w:ind w:left="259" w:hanging="202"/>
      </w:pPr>
      <w:r>
        <w:rPr>
          <w:b/>
        </w:rPr>
        <w:t xml:space="preserve">• </w:t>
      </w:r>
      <w:r>
        <w:t>Forgiveness restores nearness, affection and ordinary speech.</w:t>
      </w:r>
    </w:p>
    <w:p>
      <w:pPr>
        <w:ind w:left="259" w:hanging="202"/>
      </w:pPr>
      <w:r>
        <w:rPr>
          <w:b/>
        </w:rPr>
        <w:t xml:space="preserve">• </w:t>
      </w:r>
      <w:r>
        <w:t>Pharaoh’s invitation confirms public provision for the migration to Egypt.</w:t>
      </w:r>
    </w:p>
    <w:p>
      <w:pPr>
        <w:ind w:left="259" w:hanging="202"/>
      </w:pPr>
      <w:r>
        <w:rPr>
          <w:b/>
        </w:rPr>
        <w:t xml:space="preserve">• </w:t>
      </w:r>
      <w:r>
        <w:t>Benjamin’s continuing favour no longer awakens destructive envy.</w:t>
      </w:r>
    </w:p>
    <w:p>
      <w:pPr>
        <w:ind w:left="259" w:hanging="202"/>
      </w:pPr>
      <w:r>
        <w:rPr>
          <w:b/>
        </w:rPr>
        <w:t xml:space="preserve">• </w:t>
      </w:r>
      <w:r>
        <w:t>Jacob’s apparent catastrophe is suddenly reinterpreted as the path to preservation and joy.</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45:3</w:t>
            </w:r>
          </w:p>
        </w:tc>
        <w:tc>
          <w:tcPr>
            <w:tcW w:type="dxa" w:w="3552"/>
            <w:vAlign w:val="top"/>
          </w:tcPr>
          <w:p>
            <w:pPr>
              <w:spacing w:after="0"/>
            </w:pPr>
            <w:r>
              <w:rPr>
                <w:rFonts w:ascii="Times New Roman" w:hAnsi="Times New Roman"/>
                <w:sz w:val="15"/>
              </w:rPr>
              <w:t>bahal</w:t>
            </w:r>
          </w:p>
        </w:tc>
        <w:tc>
          <w:tcPr>
            <w:tcW w:type="dxa" w:w="3552"/>
            <w:vAlign w:val="top"/>
          </w:tcPr>
          <w:p>
            <w:pPr>
              <w:spacing w:after="0"/>
            </w:pPr>
            <w:r>
              <w:rPr>
                <w:rFonts w:ascii="Times New Roman" w:hAnsi="Times New Roman"/>
                <w:sz w:val="15"/>
              </w:rPr>
              <w:t>Alarmed/dismayed/terrified; stronger than mild “troubled.”</w:t>
            </w:r>
          </w:p>
        </w:tc>
      </w:tr>
      <w:tr>
        <w:tc>
          <w:tcPr>
            <w:tcW w:type="dxa" w:w="3552"/>
            <w:vAlign w:val="top"/>
          </w:tcPr>
          <w:p>
            <w:pPr>
              <w:spacing w:after="0"/>
            </w:pPr>
            <w:r>
              <w:rPr>
                <w:rFonts w:ascii="Times New Roman" w:hAnsi="Times New Roman"/>
                <w:sz w:val="15"/>
              </w:rPr>
              <w:t>Gen. 45:4</w:t>
            </w:r>
          </w:p>
        </w:tc>
        <w:tc>
          <w:tcPr>
            <w:tcW w:type="dxa" w:w="3552"/>
            <w:vAlign w:val="top"/>
          </w:tcPr>
          <w:p>
            <w:pPr>
              <w:spacing w:after="0"/>
            </w:pPr>
            <w:r>
              <w:rPr>
                <w:rFonts w:ascii="Times New Roman" w:hAnsi="Times New Roman"/>
                <w:sz w:val="15"/>
              </w:rPr>
              <w:t>sold into Egypt</w:t>
            </w:r>
          </w:p>
        </w:tc>
        <w:tc>
          <w:tcPr>
            <w:tcW w:type="dxa" w:w="3552"/>
            <w:vAlign w:val="top"/>
          </w:tcPr>
          <w:p>
            <w:pPr>
              <w:spacing w:after="0"/>
            </w:pPr>
            <w:r>
              <w:rPr>
                <w:rFonts w:ascii="Times New Roman" w:hAnsi="Times New Roman"/>
                <w:sz w:val="15"/>
              </w:rPr>
              <w:t>Past sin is named explicitly within restored brotherhood.</w:t>
            </w:r>
          </w:p>
        </w:tc>
      </w:tr>
      <w:tr>
        <w:tc>
          <w:tcPr>
            <w:tcW w:type="dxa" w:w="3552"/>
            <w:vAlign w:val="top"/>
          </w:tcPr>
          <w:p>
            <w:pPr>
              <w:spacing w:after="0"/>
            </w:pPr>
            <w:r>
              <w:rPr>
                <w:rFonts w:ascii="Times New Roman" w:hAnsi="Times New Roman"/>
                <w:sz w:val="15"/>
              </w:rPr>
              <w:t>Gen. 45:5,8</w:t>
            </w:r>
          </w:p>
        </w:tc>
        <w:tc>
          <w:tcPr>
            <w:tcW w:type="dxa" w:w="3552"/>
            <w:vAlign w:val="top"/>
          </w:tcPr>
          <w:p>
            <w:pPr>
              <w:spacing w:after="0"/>
            </w:pPr>
            <w:r>
              <w:rPr>
                <w:rFonts w:ascii="Times New Roman" w:hAnsi="Times New Roman"/>
                <w:sz w:val="15"/>
              </w:rPr>
              <w:t>Gen. 50:20; Psa. 105:17</w:t>
            </w:r>
          </w:p>
        </w:tc>
        <w:tc>
          <w:tcPr>
            <w:tcW w:type="dxa" w:w="3552"/>
            <w:vAlign w:val="top"/>
          </w:tcPr>
          <w:p>
            <w:pPr>
              <w:spacing w:after="0"/>
            </w:pPr>
            <w:r>
              <w:rPr>
                <w:rFonts w:ascii="Times New Roman" w:hAnsi="Times New Roman"/>
                <w:sz w:val="15"/>
              </w:rPr>
              <w:t>Human evil and Divine providence are both affirmed, not confused.</w:t>
            </w:r>
          </w:p>
        </w:tc>
      </w:tr>
      <w:tr>
        <w:tc>
          <w:tcPr>
            <w:tcW w:type="dxa" w:w="3552"/>
            <w:vAlign w:val="top"/>
          </w:tcPr>
          <w:p>
            <w:pPr>
              <w:spacing w:after="0"/>
            </w:pPr>
            <w:r>
              <w:rPr>
                <w:rFonts w:ascii="Times New Roman" w:hAnsi="Times New Roman"/>
                <w:sz w:val="15"/>
              </w:rPr>
              <w:t>Gen. 45:6</w:t>
            </w:r>
          </w:p>
        </w:tc>
        <w:tc>
          <w:tcPr>
            <w:tcW w:type="dxa" w:w="3552"/>
            <w:vAlign w:val="top"/>
          </w:tcPr>
          <w:p>
            <w:pPr>
              <w:spacing w:after="0"/>
            </w:pPr>
            <w:r>
              <w:rPr>
                <w:rFonts w:ascii="Times New Roman" w:hAnsi="Times New Roman"/>
                <w:sz w:val="15"/>
              </w:rPr>
              <w:t>earing = ploughing/tilling</w:t>
            </w:r>
          </w:p>
        </w:tc>
        <w:tc>
          <w:tcPr>
            <w:tcW w:type="dxa" w:w="3552"/>
            <w:vAlign w:val="top"/>
          </w:tcPr>
          <w:p>
            <w:pPr>
              <w:spacing w:after="0"/>
            </w:pPr>
            <w:r>
              <w:rPr>
                <w:rFonts w:ascii="Times New Roman" w:hAnsi="Times New Roman"/>
                <w:sz w:val="15"/>
              </w:rPr>
              <w:t>Corrects obsolete English sense.</w:t>
            </w:r>
          </w:p>
        </w:tc>
      </w:tr>
      <w:tr>
        <w:tc>
          <w:tcPr>
            <w:tcW w:type="dxa" w:w="3552"/>
            <w:vAlign w:val="top"/>
          </w:tcPr>
          <w:p>
            <w:pPr>
              <w:spacing w:after="0"/>
            </w:pPr>
            <w:r>
              <w:rPr>
                <w:rFonts w:ascii="Times New Roman" w:hAnsi="Times New Roman"/>
                <w:sz w:val="15"/>
              </w:rPr>
              <w:t>Gen. 45:7</w:t>
            </w:r>
          </w:p>
        </w:tc>
        <w:tc>
          <w:tcPr>
            <w:tcW w:type="dxa" w:w="3552"/>
            <w:vAlign w:val="top"/>
          </w:tcPr>
          <w:p>
            <w:pPr>
              <w:spacing w:after="0"/>
            </w:pPr>
            <w:r>
              <w:rPr>
                <w:rFonts w:ascii="Times New Roman" w:hAnsi="Times New Roman"/>
                <w:sz w:val="15"/>
              </w:rPr>
              <w:t>she’erith</w:t>
            </w:r>
          </w:p>
        </w:tc>
        <w:tc>
          <w:tcPr>
            <w:tcW w:type="dxa" w:w="3552"/>
            <w:vAlign w:val="top"/>
          </w:tcPr>
          <w:p>
            <w:pPr>
              <w:spacing w:after="0"/>
            </w:pPr>
            <w:r>
              <w:rPr>
                <w:rFonts w:ascii="Times New Roman" w:hAnsi="Times New Roman"/>
                <w:sz w:val="15"/>
              </w:rPr>
              <w:t>Remnant/survivors more precise than modern sense of “posterity.”</w:t>
            </w:r>
          </w:p>
        </w:tc>
      </w:tr>
      <w:tr>
        <w:tc>
          <w:tcPr>
            <w:tcW w:type="dxa" w:w="3552"/>
            <w:vAlign w:val="top"/>
          </w:tcPr>
          <w:p>
            <w:pPr>
              <w:spacing w:after="0"/>
            </w:pPr>
            <w:r>
              <w:rPr>
                <w:rFonts w:ascii="Times New Roman" w:hAnsi="Times New Roman"/>
                <w:sz w:val="15"/>
              </w:rPr>
              <w:t>Gen. 45:8</w:t>
            </w:r>
          </w:p>
        </w:tc>
        <w:tc>
          <w:tcPr>
            <w:tcW w:type="dxa" w:w="3552"/>
            <w:vAlign w:val="top"/>
          </w:tcPr>
          <w:p>
            <w:pPr>
              <w:spacing w:after="0"/>
            </w:pPr>
            <w:r>
              <w:rPr>
                <w:rFonts w:ascii="Times New Roman" w:hAnsi="Times New Roman"/>
                <w:sz w:val="15"/>
              </w:rPr>
              <w:t>father to Pharaoh</w:t>
            </w:r>
          </w:p>
        </w:tc>
        <w:tc>
          <w:tcPr>
            <w:tcW w:type="dxa" w:w="3552"/>
            <w:vAlign w:val="top"/>
          </w:tcPr>
          <w:p>
            <w:pPr>
              <w:spacing w:after="0"/>
            </w:pPr>
            <w:r>
              <w:rPr>
                <w:rFonts w:ascii="Times New Roman" w:hAnsi="Times New Roman"/>
                <w:sz w:val="15"/>
              </w:rPr>
              <w:t>Trusted counsellor/protector/senior statesman, not literal paternity.</w:t>
            </w:r>
          </w:p>
        </w:tc>
      </w:tr>
      <w:tr>
        <w:tc>
          <w:tcPr>
            <w:tcW w:type="dxa" w:w="3552"/>
            <w:vAlign w:val="top"/>
          </w:tcPr>
          <w:p>
            <w:pPr>
              <w:spacing w:after="0"/>
            </w:pPr>
            <w:r>
              <w:rPr>
                <w:rFonts w:ascii="Times New Roman" w:hAnsi="Times New Roman"/>
                <w:sz w:val="15"/>
              </w:rPr>
              <w:t>Gen. 45:10–11</w:t>
            </w:r>
          </w:p>
        </w:tc>
        <w:tc>
          <w:tcPr>
            <w:tcW w:type="dxa" w:w="3552"/>
            <w:vAlign w:val="top"/>
          </w:tcPr>
          <w:p>
            <w:pPr>
              <w:spacing w:after="0"/>
            </w:pPr>
            <w:r>
              <w:rPr>
                <w:rFonts w:ascii="Times New Roman" w:hAnsi="Times New Roman"/>
                <w:sz w:val="15"/>
              </w:rPr>
              <w:t>Goshen / kul</w:t>
            </w:r>
          </w:p>
        </w:tc>
        <w:tc>
          <w:tcPr>
            <w:tcW w:type="dxa" w:w="3552"/>
            <w:vAlign w:val="top"/>
          </w:tcPr>
          <w:p>
            <w:pPr>
              <w:spacing w:after="0"/>
            </w:pPr>
            <w:r>
              <w:rPr>
                <w:rFonts w:ascii="Times New Roman" w:hAnsi="Times New Roman"/>
                <w:sz w:val="15"/>
              </w:rPr>
              <w:t>Eastern Delta pastoral region; Joseph will sustain/maintain the household.</w:t>
            </w:r>
          </w:p>
        </w:tc>
      </w:tr>
      <w:tr>
        <w:tc>
          <w:tcPr>
            <w:tcW w:type="dxa" w:w="3552"/>
            <w:vAlign w:val="top"/>
          </w:tcPr>
          <w:p>
            <w:pPr>
              <w:spacing w:after="0"/>
            </w:pPr>
            <w:r>
              <w:rPr>
                <w:rFonts w:ascii="Times New Roman" w:hAnsi="Times New Roman"/>
                <w:sz w:val="15"/>
              </w:rPr>
              <w:t>Gen. 45:15</w:t>
            </w:r>
          </w:p>
        </w:tc>
        <w:tc>
          <w:tcPr>
            <w:tcW w:type="dxa" w:w="3552"/>
            <w:vAlign w:val="top"/>
          </w:tcPr>
          <w:p>
            <w:pPr>
              <w:spacing w:after="0"/>
            </w:pPr>
            <w:r>
              <w:rPr>
                <w:rFonts w:ascii="Times New Roman" w:hAnsi="Times New Roman"/>
                <w:sz w:val="15"/>
              </w:rPr>
              <w:t>Gen. 37:4</w:t>
            </w:r>
          </w:p>
        </w:tc>
        <w:tc>
          <w:tcPr>
            <w:tcW w:type="dxa" w:w="3552"/>
            <w:vAlign w:val="top"/>
          </w:tcPr>
          <w:p>
            <w:pPr>
              <w:spacing w:after="0"/>
            </w:pPr>
            <w:r>
              <w:rPr>
                <w:rFonts w:ascii="Times New Roman" w:hAnsi="Times New Roman"/>
                <w:sz w:val="15"/>
              </w:rPr>
              <w:t>Restored conversation reverses earlier inability to speak peaceably.</w:t>
            </w:r>
          </w:p>
        </w:tc>
      </w:tr>
      <w:tr>
        <w:tc>
          <w:tcPr>
            <w:tcW w:type="dxa" w:w="3552"/>
            <w:vAlign w:val="top"/>
          </w:tcPr>
          <w:p>
            <w:pPr>
              <w:spacing w:after="0"/>
            </w:pPr>
            <w:r>
              <w:rPr>
                <w:rFonts w:ascii="Times New Roman" w:hAnsi="Times New Roman"/>
                <w:sz w:val="15"/>
              </w:rPr>
              <w:t>Gen. 45:19–21</w:t>
            </w:r>
          </w:p>
        </w:tc>
        <w:tc>
          <w:tcPr>
            <w:tcW w:type="dxa" w:w="3552"/>
            <w:vAlign w:val="top"/>
          </w:tcPr>
          <w:p>
            <w:pPr>
              <w:spacing w:after="0"/>
            </w:pPr>
            <w:r>
              <w:rPr>
                <w:rFonts w:ascii="Times New Roman" w:hAnsi="Times New Roman"/>
                <w:sz w:val="15"/>
              </w:rPr>
              <w:t>wagons by Pharaoh’s command</w:t>
            </w:r>
          </w:p>
        </w:tc>
        <w:tc>
          <w:tcPr>
            <w:tcW w:type="dxa" w:w="3552"/>
            <w:vAlign w:val="top"/>
          </w:tcPr>
          <w:p>
            <w:pPr>
              <w:spacing w:after="0"/>
            </w:pPr>
            <w:r>
              <w:rPr>
                <w:rFonts w:ascii="Times New Roman" w:hAnsi="Times New Roman"/>
                <w:sz w:val="15"/>
              </w:rPr>
              <w:t>Migration receives royal authority, not only Joseph’s private support.</w:t>
            </w:r>
          </w:p>
        </w:tc>
      </w:tr>
      <w:tr>
        <w:tc>
          <w:tcPr>
            <w:tcW w:type="dxa" w:w="3552"/>
            <w:vAlign w:val="top"/>
          </w:tcPr>
          <w:p>
            <w:pPr>
              <w:spacing w:after="0"/>
            </w:pPr>
            <w:r>
              <w:rPr>
                <w:rFonts w:ascii="Times New Roman" w:hAnsi="Times New Roman"/>
                <w:sz w:val="15"/>
              </w:rPr>
              <w:t>Gen. 45:22</w:t>
            </w:r>
          </w:p>
        </w:tc>
        <w:tc>
          <w:tcPr>
            <w:tcW w:type="dxa" w:w="3552"/>
            <w:vAlign w:val="top"/>
          </w:tcPr>
          <w:p>
            <w:pPr>
              <w:spacing w:after="0"/>
            </w:pPr>
            <w:r>
              <w:rPr>
                <w:rFonts w:ascii="Times New Roman" w:hAnsi="Times New Roman"/>
                <w:sz w:val="15"/>
              </w:rPr>
              <w:t>5 changes of garments</w:t>
            </w:r>
          </w:p>
        </w:tc>
        <w:tc>
          <w:tcPr>
            <w:tcW w:type="dxa" w:w="3552"/>
            <w:vAlign w:val="top"/>
          </w:tcPr>
          <w:p>
            <w:pPr>
              <w:spacing w:after="0"/>
            </w:pPr>
            <w:r>
              <w:rPr>
                <w:rFonts w:ascii="Times New Roman" w:hAnsi="Times New Roman"/>
                <w:sz w:val="15"/>
              </w:rPr>
              <w:t>Literal multiple changes/sets; priestly symbolism kept typological.</w:t>
            </w:r>
          </w:p>
        </w:tc>
      </w:tr>
      <w:tr>
        <w:tc>
          <w:tcPr>
            <w:tcW w:type="dxa" w:w="3552"/>
            <w:vAlign w:val="top"/>
          </w:tcPr>
          <w:p>
            <w:pPr>
              <w:spacing w:after="0"/>
            </w:pPr>
            <w:r>
              <w:rPr>
                <w:rFonts w:ascii="Times New Roman" w:hAnsi="Times New Roman"/>
                <w:sz w:val="15"/>
              </w:rPr>
              <w:t>Gen. 45:24</w:t>
            </w:r>
          </w:p>
        </w:tc>
        <w:tc>
          <w:tcPr>
            <w:tcW w:type="dxa" w:w="3552"/>
            <w:vAlign w:val="top"/>
          </w:tcPr>
          <w:p>
            <w:pPr>
              <w:spacing w:after="0"/>
            </w:pPr>
            <w:r>
              <w:rPr>
                <w:rFonts w:ascii="Times New Roman" w:hAnsi="Times New Roman"/>
                <w:sz w:val="15"/>
              </w:rPr>
              <w:t>ragaz</w:t>
            </w:r>
          </w:p>
        </w:tc>
        <w:tc>
          <w:tcPr>
            <w:tcW w:type="dxa" w:w="3552"/>
            <w:vAlign w:val="top"/>
          </w:tcPr>
          <w:p>
            <w:pPr>
              <w:spacing w:after="0"/>
            </w:pPr>
            <w:r>
              <w:rPr>
                <w:rFonts w:ascii="Times New Roman" w:hAnsi="Times New Roman"/>
                <w:sz w:val="15"/>
              </w:rPr>
              <w:t>Be agitated/quarrel/tremble; context supports “do not quarrel on the way.”</w:t>
            </w:r>
          </w:p>
        </w:tc>
      </w:tr>
      <w:tr>
        <w:tc>
          <w:tcPr>
            <w:tcW w:type="dxa" w:w="3552"/>
            <w:vAlign w:val="top"/>
          </w:tcPr>
          <w:p>
            <w:pPr>
              <w:spacing w:after="0"/>
            </w:pPr>
            <w:r>
              <w:rPr>
                <w:rFonts w:ascii="Times New Roman" w:hAnsi="Times New Roman"/>
                <w:sz w:val="15"/>
              </w:rPr>
              <w:t>Gen. 45:26</w:t>
            </w:r>
          </w:p>
        </w:tc>
        <w:tc>
          <w:tcPr>
            <w:tcW w:type="dxa" w:w="3552"/>
            <w:vAlign w:val="top"/>
          </w:tcPr>
          <w:p>
            <w:pPr>
              <w:spacing w:after="0"/>
            </w:pPr>
            <w:r>
              <w:rPr>
                <w:rFonts w:ascii="Times New Roman" w:hAnsi="Times New Roman"/>
                <w:sz w:val="15"/>
              </w:rPr>
              <w:t>heart became numb/faint</w:t>
            </w:r>
          </w:p>
        </w:tc>
        <w:tc>
          <w:tcPr>
            <w:tcW w:type="dxa" w:w="3552"/>
            <w:vAlign w:val="top"/>
          </w:tcPr>
          <w:p>
            <w:pPr>
              <w:spacing w:after="0"/>
            </w:pPr>
            <w:r>
              <w:rPr>
                <w:rFonts w:ascii="Times New Roman" w:hAnsi="Times New Roman"/>
                <w:sz w:val="15"/>
              </w:rPr>
              <w:t>Shock and unbelief, not physical death.</w:t>
            </w:r>
          </w:p>
        </w:tc>
      </w:tr>
      <w:tr>
        <w:tc>
          <w:tcPr>
            <w:tcW w:type="dxa" w:w="3552"/>
            <w:vAlign w:val="top"/>
          </w:tcPr>
          <w:p>
            <w:pPr>
              <w:spacing w:after="0"/>
            </w:pPr>
            <w:r>
              <w:rPr>
                <w:rFonts w:ascii="Times New Roman" w:hAnsi="Times New Roman"/>
                <w:sz w:val="15"/>
              </w:rPr>
              <w:t>Gen. 45:27</w:t>
            </w:r>
          </w:p>
        </w:tc>
        <w:tc>
          <w:tcPr>
            <w:tcW w:type="dxa" w:w="3552"/>
            <w:vAlign w:val="top"/>
          </w:tcPr>
          <w:p>
            <w:pPr>
              <w:spacing w:after="0"/>
            </w:pPr>
            <w:r>
              <w:rPr>
                <w:rFonts w:ascii="Times New Roman" w:hAnsi="Times New Roman"/>
                <w:sz w:val="15"/>
              </w:rPr>
              <w:t>spirit revived</w:t>
            </w:r>
          </w:p>
        </w:tc>
        <w:tc>
          <w:tcPr>
            <w:tcW w:type="dxa" w:w="3552"/>
            <w:vAlign w:val="top"/>
          </w:tcPr>
          <w:p>
            <w:pPr>
              <w:spacing w:after="0"/>
            </w:pPr>
            <w:r>
              <w:rPr>
                <w:rFonts w:ascii="Times New Roman" w:hAnsi="Times New Roman"/>
                <w:sz w:val="15"/>
              </w:rPr>
              <w:t>Renewed vitality/courage; no immortal-soul inference.</w:t>
            </w:r>
          </w:p>
        </w:tc>
      </w:tr>
      <w:tr>
        <w:tc>
          <w:tcPr>
            <w:tcW w:type="dxa" w:w="3552"/>
            <w:vAlign w:val="top"/>
          </w:tcPr>
          <w:p>
            <w:pPr>
              <w:spacing w:after="0"/>
            </w:pPr>
            <w:r>
              <w:rPr>
                <w:rFonts w:ascii="Times New Roman" w:hAnsi="Times New Roman"/>
                <w:sz w:val="15"/>
              </w:rPr>
              <w:t>Gen. 45:28</w:t>
            </w:r>
          </w:p>
        </w:tc>
        <w:tc>
          <w:tcPr>
            <w:tcW w:type="dxa" w:w="3552"/>
            <w:vAlign w:val="top"/>
          </w:tcPr>
          <w:p>
            <w:pPr>
              <w:spacing w:after="0"/>
            </w:pPr>
            <w:r>
              <w:rPr>
                <w:rFonts w:ascii="Times New Roman" w:hAnsi="Times New Roman"/>
                <w:sz w:val="15"/>
              </w:rPr>
              <w:t>Israel speaks</w:t>
            </w:r>
          </w:p>
        </w:tc>
        <w:tc>
          <w:tcPr>
            <w:tcW w:type="dxa" w:w="3552"/>
            <w:vAlign w:val="top"/>
          </w:tcPr>
          <w:p>
            <w:pPr>
              <w:spacing w:after="0"/>
            </w:pPr>
            <w:r>
              <w:rPr>
                <w:rFonts w:ascii="Times New Roman" w:hAnsi="Times New Roman"/>
                <w:sz w:val="15"/>
              </w:rPr>
              <w:t>Faith and resolve replace the despair of Gen. 42:36.</w:t>
            </w:r>
          </w:p>
        </w:tc>
      </w:tr>
      <w:tr>
        <w:tc>
          <w:tcPr>
            <w:tcW w:type="dxa" w:w="3552"/>
            <w:vAlign w:val="top"/>
          </w:tcPr>
          <w:p>
            <w:pPr>
              <w:spacing w:after="0"/>
            </w:pPr>
            <w:r>
              <w:rPr>
                <w:rFonts w:ascii="Times New Roman" w:hAnsi="Times New Roman"/>
                <w:sz w:val="15"/>
              </w:rPr>
              <w:t>Acts 7:13</w:t>
            </w:r>
          </w:p>
        </w:tc>
        <w:tc>
          <w:tcPr>
            <w:tcW w:type="dxa" w:w="3552"/>
            <w:vAlign w:val="top"/>
          </w:tcPr>
          <w:p>
            <w:pPr>
              <w:spacing w:after="0"/>
            </w:pPr>
            <w:r>
              <w:rPr>
                <w:rFonts w:ascii="Times New Roman" w:hAnsi="Times New Roman"/>
                <w:sz w:val="15"/>
              </w:rPr>
              <w:t>“second time”</w:t>
            </w:r>
          </w:p>
        </w:tc>
        <w:tc>
          <w:tcPr>
            <w:tcW w:type="dxa" w:w="3552"/>
            <w:vAlign w:val="top"/>
          </w:tcPr>
          <w:p>
            <w:pPr>
              <w:spacing w:after="0"/>
            </w:pPr>
            <w:r>
              <w:rPr>
                <w:rFonts w:ascii="Times New Roman" w:hAnsi="Times New Roman"/>
                <w:sz w:val="15"/>
              </w:rPr>
              <w:t>Explicit New Testament observation supporting broad Joseph/Christ recognition pattern.</w:t>
            </w:r>
          </w:p>
        </w:tc>
      </w:tr>
    </w:tbl>
    <w:p>
      <w:pPr>
        <w:pStyle w:val="Heading1"/>
      </w:pPr>
      <w:r>
        <w:t>RESIDUAL UNCERTAINTIES</w:t>
      </w:r>
    </w:p>
    <w:p>
      <w:pPr/>
      <w:r>
        <w:rPr>
          <w:i w:val="0"/>
        </w:rPr>
        <w:t>The exact ancient boundaries of Goshen and the full administrative nuance of “father to Pharaoh” cannot be reconstructed with certainty. Mansfield’s fivefold garment symbolism and detailed latter-day Joseph/Christ chronology are typological. Genesis does not record the brothers’ full confession to Jacob on the journey home, so the reason behind Joseph’s warning not to quarrel is a strong contextual inference rather than an explicit explanation.</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