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46</w:t>
      </w:r>
    </w:p>
    <w:p>
      <w:pPr>
        <w:pStyle w:val="Subtitle"/>
      </w:pPr>
      <w:r>
        <w:t>THE MIGRATION TO EGYPT • DIVINE ASSURANCE AT BEERSHEBA • THE HOUSE OF ISRAEL NUMBERED • JOSEPH AND JACOB REUNITED • GOSHEN</w:t>
      </w:r>
    </w:p>
    <w:p>
      <w:pPr/>
      <w:r>
        <w:rPr>
          <w:i/>
        </w:rPr>
        <w:t>H. P. Mansfield Bible notes — checked and arranged in verse-by-verse Expositor style</w:t>
      </w:r>
    </w:p>
    <w:p>
      <w:pPr/>
      <w:r>
        <w:rPr>
          <w:i w:val="0"/>
        </w:rPr>
        <w:t>Source: HPB 02-Gen42-Lev11.pdf, principally Genesis 46 photographed pages 7–9</w:t>
      </w:r>
    </w:p>
    <w:p>
      <w:pPr>
        <w:pStyle w:val="Heading1"/>
      </w:pPr>
      <w:r>
        <w:t>CHAPTER OVERVIEW</w:t>
      </w:r>
    </w:p>
    <w:p>
      <w:pPr/>
      <w:r>
        <w:rPr>
          <w:i w:val="0"/>
        </w:rPr>
        <w:t>Jacob does not enter Egypt merely because Joseph is alive or because food is available. At Beersheba he worships and receives explicit Divine permission to go. Egypt is incorporated into the covenant purpose: there the family will become a great nation, God will accompany them, and He will later bring them up again.</w:t>
      </w:r>
    </w:p>
    <w:p>
      <w:pPr/>
      <w:r>
        <w:rPr>
          <w:i w:val="0"/>
        </w:rPr>
        <w:t>The chapter then registers the covenant household and ends with the long-awaited reunion of Jacob and Joseph. The genealogy contains several different totals in the biblical textual traditions. These are best explained by different scopes of counting rather than by forcing all lists into one arithmetic formula.</w:t>
      </w:r>
    </w:p>
    <w:p>
      <w:pPr>
        <w:pStyle w:val="Heading1"/>
      </w:pPr>
      <w:r>
        <w:t>DIVINE ASSURANCE AT BEERSHEBA — GENESIS 46:1–7</w:t>
      </w:r>
    </w:p>
    <w:p>
      <w:pPr>
        <w:pStyle w:val="Heading2"/>
      </w:pPr>
      <w:r>
        <w:t>Genesis 46:1 — Israel stops to worship</w:t>
      </w:r>
    </w:p>
    <w:p>
      <w:pPr/>
      <w:r>
        <w:rPr>
          <w:i w:val="0"/>
        </w:rPr>
        <w:t>Israel travels with all he possesses and comes to Beersheba, where he sacrifices to “the God of his father Isaac.” Beersheba is deeply associated with Abraham and Isaac (Genesis 21:31–33; 26:23–33) and lies on the southern edge of the patriarchal land. Mansfield’s published Expositor mistakenly says Jacob received the Genesis 28 dream and promise at Beersheba; Genesis 28:10 says he departed from Beersheba, but the dream occurred at Bethel. The correction is important.</w:t>
      </w:r>
    </w:p>
    <w:p>
      <w:pPr>
        <w:pStyle w:val="Heading2"/>
      </w:pPr>
      <w:r>
        <w:t>Genesis 46:2 — “Jacob, Jacob”</w:t>
      </w:r>
    </w:p>
    <w:p>
      <w:pPr/>
      <w:r>
        <w:rPr>
          <w:i w:val="0"/>
        </w:rPr>
        <w:t>God speaks “in the visions of the night” and calls, “Jacob, Jacob.” The doubled personal name conveys direct address and reassurance, as in other significant biblical call scenes. Jacob answers, “Here am I,” ready to receive instruction. Mansfield’s attempt to make “visions of the night” specifically symbolize Gentile times is typological, not lexical.</w:t>
      </w:r>
    </w:p>
    <w:p>
      <w:pPr>
        <w:pStyle w:val="Heading2"/>
      </w:pPr>
      <w:r>
        <w:t>Genesis 46:3 — “Fear not to go down into Egypt”</w:t>
      </w:r>
    </w:p>
    <w:p>
      <w:pPr/>
      <w:r>
        <w:rPr>
          <w:i w:val="0"/>
        </w:rPr>
        <w:t>God identifies Himself as El, the God of Jacob’s father, and removes the fear surrounding the move. Egypt is not abandonment of the promise: “I will there make of thee a great nation.” The family’s growth into national Israel will occur in the foreign land foretold to Abraham in Genesis 15:13–16.</w:t>
      </w:r>
    </w:p>
    <w:p>
      <w:pPr>
        <w:pStyle w:val="Heading2"/>
      </w:pPr>
      <w:r>
        <w:t>Genesis 46:4 — presence, return and Joseph at Jacob’s death</w:t>
      </w:r>
    </w:p>
    <w:p>
      <w:pPr/>
      <w:r>
        <w:rPr>
          <w:i w:val="0"/>
        </w:rPr>
        <w:t>The promise has several dimensions: God will go down with Jacob; He will surely bring him/the covenant people up again; and Joseph will put his hand upon Jacob’s eyes. The final phrase describes the intimate last duty of closing the eyes at death and assures Jacob that Joseph will remain with him to the end.</w:t>
      </w:r>
    </w:p>
    <w:p>
      <w:pPr/>
      <w:r>
        <w:rPr>
          <w:i w:val="0"/>
        </w:rPr>
        <w:t>“I will also surely bring thee up again” operates both personally and corporately. Jacob’s body will indeed be carried back to Canaan in Genesis 50, while his descendants will later be brought out as a nation. Resurrection is consonant with the wider Abrahamic hope, but this clause itself first promises return from Egypt rather than explicitly defining resurrection.</w:t>
      </w:r>
    </w:p>
    <w:p>
      <w:pPr>
        <w:pStyle w:val="Heading2"/>
      </w:pPr>
      <w:r>
        <w:t>Genesis 46:5–7 — the whole household relocates</w:t>
      </w:r>
    </w:p>
    <w:p>
      <w:pPr/>
      <w:r>
        <w:rPr>
          <w:i w:val="0"/>
        </w:rPr>
        <w:t>Jacob rises from Beersheba. Pharaoh’s wagons carry Jacob, wives and children; cattle and possessions acquired in Canaan are taken as well. The repeated sons, daughters, grandsons and granddaughters emphasise that this is the migration of a household, not an individual visit to Joseph.</w:t>
      </w:r>
    </w:p>
    <w:p>
      <w:pPr>
        <w:pStyle w:val="Heading1"/>
      </w:pPr>
      <w:r>
        <w:t>THE HOUSE OF JACOB NUMBERED — GENESIS 46:8–27</w:t>
      </w:r>
    </w:p>
    <w:p>
      <w:pPr>
        <w:pStyle w:val="Heading2"/>
      </w:pPr>
      <w:r>
        <w:t>Genesis 46:8–15 — Leah’s branch</w:t>
      </w:r>
    </w:p>
    <w:p>
      <w:pPr/>
      <w:r>
        <w:rPr>
          <w:i w:val="0"/>
        </w:rPr>
        <w:t>The list begins with Reuben, then Simeon, Levi, Judah, Issachar and Zebulun and their descendants. Er and Onan are explicitly noted as dead in Canaan. The section closes with a total of thirty-three associated with Leah. Because the ancient genealogy is constructed as a family register rather than a modern passenger manifest, individual subtotal arithmetic must be handled cautiously.</w:t>
      </w:r>
    </w:p>
    <w:p>
      <w:pPr/>
      <w:r>
        <w:rPr>
          <w:i w:val="0"/>
        </w:rPr>
        <w:t>Mansfield builds devotional sentences by combining proposed meanings of the personal names. Many individual etymologies are uncertain or have alternative derivations, so those constructed messages have not been presented as inspired hidden meanings.</w:t>
      </w:r>
    </w:p>
    <w:p>
      <w:pPr>
        <w:pStyle w:val="Heading2"/>
      </w:pPr>
      <w:r>
        <w:t>Genesis 46:16–18 — Zilpah’s sixteen</w:t>
      </w:r>
    </w:p>
    <w:p>
      <w:pPr/>
      <w:r>
        <w:rPr>
          <w:i w:val="0"/>
        </w:rPr>
        <w:t>Gad and Asher’s families are listed, including Serah, and the text gives sixteen persons associated with Zilpah. The inclusion of daughters and grandsons shows that “sons” and family lists can function broadly in genealogical reckoning.</w:t>
      </w:r>
    </w:p>
    <w:p>
      <w:pPr>
        <w:pStyle w:val="Heading2"/>
      </w:pPr>
      <w:r>
        <w:t>Genesis 46:19–22 — Rachel, Joseph and Benjamin</w:t>
      </w:r>
    </w:p>
    <w:p>
      <w:pPr/>
      <w:r>
        <w:rPr>
          <w:i w:val="0"/>
        </w:rPr>
        <w:t>Rachel’s line includes Joseph and Benjamin. Manasseh and Ephraim are included even though they were already born in Egypt. Benjamin’s list differs in form from later clan lists such as Numbers 26 and 1 Chronicles 7. Ancient genealogies can preserve sons, descendants and clan founders at different generational depths; they should not be forced into a modern one-generation family tree.</w:t>
      </w:r>
    </w:p>
    <w:p>
      <w:pPr>
        <w:pStyle w:val="Heading2"/>
      </w:pPr>
      <w:r>
        <w:t>Genesis 46:23–25 — Bilhah’s seven</w:t>
      </w:r>
    </w:p>
    <w:p>
      <w:pPr/>
      <w:r>
        <w:rPr>
          <w:i w:val="0"/>
        </w:rPr>
        <w:t>Dan and Naphtali with their descendants complete the four maternal branches, and seven persons are associated with Bilhah.</w:t>
      </w:r>
    </w:p>
    <w:p>
      <w:pPr>
        <w:pStyle w:val="Heading2"/>
      </w:pPr>
      <w:r>
        <w:t>Genesis 46:26 — sixty-six came with Jacob from Canaan</w:t>
      </w:r>
    </w:p>
    <w:p>
      <w:pPr/>
      <w:r>
        <w:rPr>
          <w:i w:val="0"/>
        </w:rPr>
        <w:t>Verse 26 specifies the scope carefully: sixty-six came with Jacob into Egypt, were descended from him, and exclude the wives of his sons. This count also necessarily excludes Jacob himself and Joseph, Manasseh and Ephraim, who were already in Egypt; Er and Onan had died in Canaan.</w:t>
      </w:r>
    </w:p>
    <w:p>
      <w:pPr>
        <w:pStyle w:val="Heading2"/>
      </w:pPr>
      <w:r>
        <w:t>Genesis 46:27 — seventy in the house of Jacob</w:t>
      </w:r>
    </w:p>
    <w:p>
      <w:pPr/>
      <w:r>
        <w:rPr>
          <w:i w:val="0"/>
        </w:rPr>
        <w:t>Adding Jacob, Joseph and Joseph’s two Egyptian-born sons to the sixty-six gives the Masoretic Text total of seventy for “all the souls of the house of Jacob” in Egypt. Exodus 1:5 and Deuteronomy 10:22 preserve the same seventy tradition.</w:t>
      </w:r>
    </w:p>
    <w:p>
      <w:pPr/>
      <w:r>
        <w:rPr>
          <w:i w:val="0"/>
        </w:rPr>
        <w:t>Acts 7:14 gives seventy-five. Stephen’s figure agrees with the Greek Septuagint tradition of Genesis 46 and Exodus 1, which includes five additional descendants in Joseph’s line. This is a textual/genealogical difference of inclusion, not best explained by adding the wives of Jacob’s sons. Mansfield mentions the Septuagint explanation but also proposes a wives calculation; the Septuagint basis is the stronger and more direct explanation for Stephen’s seventy-five.</w:t>
      </w:r>
    </w:p>
    <w:p>
      <w:pPr>
        <w:pStyle w:val="Heading1"/>
      </w:pPr>
      <w:r>
        <w:t>JACOB AND JOSEPH REUNITED — GENESIS 46:28–34</w:t>
      </w:r>
    </w:p>
    <w:p>
      <w:pPr>
        <w:pStyle w:val="Heading2"/>
      </w:pPr>
      <w:r>
        <w:t>Genesis 46:28 — Judah goes ahead</w:t>
      </w:r>
    </w:p>
    <w:p>
      <w:pPr/>
      <w:r>
        <w:rPr>
          <w:i w:val="0"/>
        </w:rPr>
        <w:t>Jacob sends Judah ahead to Joseph to direct the family to Goshen. Judah’s leadership after chapters 43–44 continues: the brother transformed through suretyship and self-sacrifice now acts as the family’s advance representative.</w:t>
      </w:r>
    </w:p>
    <w:p>
      <w:pPr>
        <w:pStyle w:val="Heading2"/>
      </w:pPr>
      <w:r>
        <w:t>Genesis 46:29 — Joseph presents himself and weeps</w:t>
      </w:r>
    </w:p>
    <w:p>
      <w:pPr/>
      <w:r>
        <w:rPr>
          <w:i w:val="0"/>
        </w:rPr>
        <w:t>Joseph goes by chariot to Goshen, “presented himself” to Israel and falls upon his father’s neck, weeping there “a good while.” The verb for presenting/appearing can also be used of appearing in a significant personal encounter. The emotional length of the reunion matches the decades of separation that preceded it.</w:t>
      </w:r>
    </w:p>
    <w:p>
      <w:pPr>
        <w:pStyle w:val="Heading2"/>
      </w:pPr>
      <w:r>
        <w:t>Genesis 46:30 — “Now let me die”</w:t>
      </w:r>
    </w:p>
    <w:p>
      <w:pPr/>
      <w:r>
        <w:rPr>
          <w:i w:val="0"/>
        </w:rPr>
        <w:t>Israel says he can now die because he has seen Joseph’s face and knows that he is alive. This is not a wish for immediate death so much as the language of complete earthly satisfaction: the grief that dominated his later life has been answered.</w:t>
      </w:r>
    </w:p>
    <w:p>
      <w:pPr>
        <w:pStyle w:val="Heading2"/>
      </w:pPr>
      <w:r>
        <w:t>Genesis 46:31–34 — shepherds and geographical separation</w:t>
      </w:r>
    </w:p>
    <w:p>
      <w:pPr/>
      <w:r>
        <w:rPr>
          <w:i w:val="0"/>
        </w:rPr>
        <w:t>Joseph prepares the family’s presentation to Pharaoh. They are to state truthfully that they have been livestock keepers from youth, as were their fathers. This occupational identity supports settlement in Goshen, where their animals can be maintained and the family can remain geographically distinct.</w:t>
      </w:r>
    </w:p>
    <w:p>
      <w:pPr/>
      <w:r>
        <w:rPr>
          <w:i w:val="0"/>
        </w:rPr>
        <w:t>Genesis itself says “every shepherd is an abomination unto the Egyptians.” The precise historical reason is debated. Mansfield ties it strongly to the Hyksos/“shepherd kings,” but the dating and connection are uncertain. Egyptian cultural, occupational and ritual attitudes may all contribute; the inspired narrative’s practical point is that the social separation helps preserve Israel as a distinct people.</w:t>
      </w:r>
    </w:p>
    <w:p>
      <w:pPr>
        <w:pStyle w:val="Heading1"/>
      </w:pPr>
      <w:r>
        <w:t>PRINCIPAL THEMES</w:t>
      </w:r>
    </w:p>
    <w:p>
      <w:pPr>
        <w:ind w:left="259" w:hanging="202"/>
      </w:pPr>
      <w:r>
        <w:rPr>
          <w:b/>
        </w:rPr>
        <w:t xml:space="preserve">• </w:t>
      </w:r>
      <w:r>
        <w:t>The migration to Egypt is authorised by God and incorporated into covenant purpose.</w:t>
      </w:r>
    </w:p>
    <w:p>
      <w:pPr>
        <w:ind w:left="259" w:hanging="202"/>
      </w:pPr>
      <w:r>
        <w:rPr>
          <w:b/>
        </w:rPr>
        <w:t xml:space="preserve">• </w:t>
      </w:r>
      <w:r>
        <w:t>God’s presence accompanies Jacob outside the promised land and guarantees eventual return.</w:t>
      </w:r>
    </w:p>
    <w:p>
      <w:pPr>
        <w:ind w:left="259" w:hanging="202"/>
      </w:pPr>
      <w:r>
        <w:rPr>
          <w:b/>
        </w:rPr>
        <w:t xml:space="preserve">• </w:t>
      </w:r>
      <w:r>
        <w:t>Egypt becomes the place where the household will grow into a nation.</w:t>
      </w:r>
    </w:p>
    <w:p>
      <w:pPr>
        <w:ind w:left="259" w:hanging="202"/>
      </w:pPr>
      <w:r>
        <w:rPr>
          <w:b/>
        </w:rPr>
        <w:t xml:space="preserve">• </w:t>
      </w:r>
      <w:r>
        <w:t>The genealogical totals differ according to the scope and textual tradition of the count.</w:t>
      </w:r>
    </w:p>
    <w:p>
      <w:pPr>
        <w:ind w:left="259" w:hanging="202"/>
      </w:pPr>
      <w:r>
        <w:rPr>
          <w:b/>
        </w:rPr>
        <w:t xml:space="preserve">• </w:t>
      </w:r>
      <w:r>
        <w:t>The Septuagint tradition best explains Stephen’s seventy-five in Acts 7:14.</w:t>
      </w:r>
    </w:p>
    <w:p>
      <w:pPr>
        <w:ind w:left="259" w:hanging="202"/>
      </w:pPr>
      <w:r>
        <w:rPr>
          <w:b/>
        </w:rPr>
        <w:t xml:space="preserve">• </w:t>
      </w:r>
      <w:r>
        <w:t>Judah continues to function as transformed family leader.</w:t>
      </w:r>
    </w:p>
    <w:p>
      <w:pPr>
        <w:ind w:left="259" w:hanging="202"/>
      </w:pPr>
      <w:r>
        <w:rPr>
          <w:b/>
        </w:rPr>
        <w:t xml:space="preserve">• </w:t>
      </w:r>
      <w:r>
        <w:t>Jacob’s long grief ends in the sight and embrace of the living Joseph.</w:t>
      </w:r>
    </w:p>
    <w:p>
      <w:pPr>
        <w:ind w:left="259" w:hanging="202"/>
      </w:pPr>
      <w:r>
        <w:rPr>
          <w:b/>
        </w:rPr>
        <w:t xml:space="preserve">• </w:t>
      </w:r>
      <w:r>
        <w:t>Shepherding helps secure Israel’s distinctive settlement in Goshen.</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46:1</w:t>
            </w:r>
          </w:p>
        </w:tc>
        <w:tc>
          <w:tcPr>
            <w:tcW w:type="dxa" w:w="3552"/>
            <w:vAlign w:val="top"/>
          </w:tcPr>
          <w:p>
            <w:pPr>
              <w:spacing w:after="0"/>
            </w:pPr>
            <w:r>
              <w:rPr>
                <w:rFonts w:ascii="Times New Roman" w:hAnsi="Times New Roman"/>
                <w:sz w:val="15"/>
              </w:rPr>
              <w:t>Gen. 28:10–19</w:t>
            </w:r>
          </w:p>
        </w:tc>
        <w:tc>
          <w:tcPr>
            <w:tcW w:type="dxa" w:w="3552"/>
            <w:vAlign w:val="top"/>
          </w:tcPr>
          <w:p>
            <w:pPr>
              <w:spacing w:after="0"/>
            </w:pPr>
            <w:r>
              <w:rPr>
                <w:rFonts w:ascii="Times New Roman" w:hAnsi="Times New Roman"/>
                <w:sz w:val="15"/>
              </w:rPr>
              <w:t>Corrects CSSA statement: Jacob left Beersheba, but the dream occurred at Bethel.</w:t>
            </w:r>
          </w:p>
        </w:tc>
      </w:tr>
      <w:tr>
        <w:tc>
          <w:tcPr>
            <w:tcW w:type="dxa" w:w="3552"/>
            <w:vAlign w:val="top"/>
          </w:tcPr>
          <w:p>
            <w:pPr>
              <w:spacing w:after="0"/>
            </w:pPr>
            <w:r>
              <w:rPr>
                <w:rFonts w:ascii="Times New Roman" w:hAnsi="Times New Roman"/>
                <w:sz w:val="15"/>
              </w:rPr>
              <w:t>Gen. 46:2</w:t>
            </w:r>
          </w:p>
        </w:tc>
        <w:tc>
          <w:tcPr>
            <w:tcW w:type="dxa" w:w="3552"/>
            <w:vAlign w:val="top"/>
          </w:tcPr>
          <w:p>
            <w:pPr>
              <w:spacing w:after="0"/>
            </w:pPr>
            <w:r>
              <w:rPr>
                <w:rFonts w:ascii="Times New Roman" w:hAnsi="Times New Roman"/>
                <w:sz w:val="15"/>
              </w:rPr>
              <w:t>visions of the night</w:t>
            </w:r>
          </w:p>
        </w:tc>
        <w:tc>
          <w:tcPr>
            <w:tcW w:type="dxa" w:w="3552"/>
            <w:vAlign w:val="top"/>
          </w:tcPr>
          <w:p>
            <w:pPr>
              <w:spacing w:after="0"/>
            </w:pPr>
            <w:r>
              <w:rPr>
                <w:rFonts w:ascii="Times New Roman" w:hAnsi="Times New Roman"/>
                <w:sz w:val="15"/>
              </w:rPr>
              <w:t>Literal revelatory setting primary; “Gentile times” symbolism kept typological.</w:t>
            </w:r>
          </w:p>
        </w:tc>
      </w:tr>
      <w:tr>
        <w:tc>
          <w:tcPr>
            <w:tcW w:type="dxa" w:w="3552"/>
            <w:vAlign w:val="top"/>
          </w:tcPr>
          <w:p>
            <w:pPr>
              <w:spacing w:after="0"/>
            </w:pPr>
            <w:r>
              <w:rPr>
                <w:rFonts w:ascii="Times New Roman" w:hAnsi="Times New Roman"/>
                <w:sz w:val="15"/>
              </w:rPr>
              <w:t>Gen. 46:3</w:t>
            </w:r>
          </w:p>
        </w:tc>
        <w:tc>
          <w:tcPr>
            <w:tcW w:type="dxa" w:w="3552"/>
            <w:vAlign w:val="top"/>
          </w:tcPr>
          <w:p>
            <w:pPr>
              <w:spacing w:after="0"/>
            </w:pPr>
            <w:r>
              <w:rPr>
                <w:rFonts w:ascii="Times New Roman" w:hAnsi="Times New Roman"/>
                <w:sz w:val="15"/>
              </w:rPr>
              <w:t>El / God of thy father</w:t>
            </w:r>
          </w:p>
        </w:tc>
        <w:tc>
          <w:tcPr>
            <w:tcW w:type="dxa" w:w="3552"/>
            <w:vAlign w:val="top"/>
          </w:tcPr>
          <w:p>
            <w:pPr>
              <w:spacing w:after="0"/>
            </w:pPr>
            <w:r>
              <w:rPr>
                <w:rFonts w:ascii="Times New Roman" w:hAnsi="Times New Roman"/>
                <w:sz w:val="15"/>
              </w:rPr>
              <w:t>Divine power and covenant continuity; no forced compound etymology needed.</w:t>
            </w:r>
          </w:p>
        </w:tc>
      </w:tr>
      <w:tr>
        <w:tc>
          <w:tcPr>
            <w:tcW w:type="dxa" w:w="3552"/>
            <w:vAlign w:val="top"/>
          </w:tcPr>
          <w:p>
            <w:pPr>
              <w:spacing w:after="0"/>
            </w:pPr>
            <w:r>
              <w:rPr>
                <w:rFonts w:ascii="Times New Roman" w:hAnsi="Times New Roman"/>
                <w:sz w:val="15"/>
              </w:rPr>
              <w:t>Gen. 46:4</w:t>
            </w:r>
          </w:p>
        </w:tc>
        <w:tc>
          <w:tcPr>
            <w:tcW w:type="dxa" w:w="3552"/>
            <w:vAlign w:val="top"/>
          </w:tcPr>
          <w:p>
            <w:pPr>
              <w:spacing w:after="0"/>
            </w:pPr>
            <w:r>
              <w:rPr>
                <w:rFonts w:ascii="Times New Roman" w:hAnsi="Times New Roman"/>
                <w:sz w:val="15"/>
              </w:rPr>
              <w:t>bring thee up again</w:t>
            </w:r>
          </w:p>
        </w:tc>
        <w:tc>
          <w:tcPr>
            <w:tcW w:type="dxa" w:w="3552"/>
            <w:vAlign w:val="top"/>
          </w:tcPr>
          <w:p>
            <w:pPr>
              <w:spacing w:after="0"/>
            </w:pPr>
            <w:r>
              <w:rPr>
                <w:rFonts w:ascii="Times New Roman" w:hAnsi="Times New Roman"/>
                <w:sz w:val="15"/>
              </w:rPr>
              <w:t>Personal burial return + corporate Exodus are explicit narrative fulfilments.</w:t>
            </w:r>
          </w:p>
        </w:tc>
      </w:tr>
      <w:tr>
        <w:tc>
          <w:tcPr>
            <w:tcW w:type="dxa" w:w="3552"/>
            <w:vAlign w:val="top"/>
          </w:tcPr>
          <w:p>
            <w:pPr>
              <w:spacing w:after="0"/>
            </w:pPr>
            <w:r>
              <w:rPr>
                <w:rFonts w:ascii="Times New Roman" w:hAnsi="Times New Roman"/>
                <w:sz w:val="15"/>
              </w:rPr>
              <w:t>Gen. 46:4</w:t>
            </w:r>
          </w:p>
        </w:tc>
        <w:tc>
          <w:tcPr>
            <w:tcW w:type="dxa" w:w="3552"/>
            <w:vAlign w:val="top"/>
          </w:tcPr>
          <w:p>
            <w:pPr>
              <w:spacing w:after="0"/>
            </w:pPr>
            <w:r>
              <w:rPr>
                <w:rFonts w:ascii="Times New Roman" w:hAnsi="Times New Roman"/>
                <w:sz w:val="15"/>
              </w:rPr>
              <w:t>hand upon thine eyes</w:t>
            </w:r>
          </w:p>
        </w:tc>
        <w:tc>
          <w:tcPr>
            <w:tcW w:type="dxa" w:w="3552"/>
            <w:vAlign w:val="top"/>
          </w:tcPr>
          <w:p>
            <w:pPr>
              <w:spacing w:after="0"/>
            </w:pPr>
            <w:r>
              <w:rPr>
                <w:rFonts w:ascii="Times New Roman" w:hAnsi="Times New Roman"/>
                <w:sz w:val="15"/>
              </w:rPr>
              <w:t>Last filial duty at death; assures Joseph’s presence at Jacob’s end.</w:t>
            </w:r>
          </w:p>
        </w:tc>
      </w:tr>
      <w:tr>
        <w:tc>
          <w:tcPr>
            <w:tcW w:type="dxa" w:w="3552"/>
            <w:vAlign w:val="top"/>
          </w:tcPr>
          <w:p>
            <w:pPr>
              <w:spacing w:after="0"/>
            </w:pPr>
            <w:r>
              <w:rPr>
                <w:rFonts w:ascii="Times New Roman" w:hAnsi="Times New Roman"/>
                <w:sz w:val="15"/>
              </w:rPr>
              <w:t>Gen. 46:7</w:t>
            </w:r>
          </w:p>
        </w:tc>
        <w:tc>
          <w:tcPr>
            <w:tcW w:type="dxa" w:w="3552"/>
            <w:vAlign w:val="top"/>
          </w:tcPr>
          <w:p>
            <w:pPr>
              <w:spacing w:after="0"/>
            </w:pPr>
            <w:r>
              <w:rPr>
                <w:rFonts w:ascii="Times New Roman" w:hAnsi="Times New Roman"/>
                <w:sz w:val="15"/>
              </w:rPr>
              <w:t>daughters</w:t>
            </w:r>
          </w:p>
        </w:tc>
        <w:tc>
          <w:tcPr>
            <w:tcW w:type="dxa" w:w="3552"/>
            <w:vAlign w:val="top"/>
          </w:tcPr>
          <w:p>
            <w:pPr>
              <w:spacing w:after="0"/>
            </w:pPr>
            <w:r>
              <w:rPr>
                <w:rFonts w:ascii="Times New Roman" w:hAnsi="Times New Roman"/>
                <w:sz w:val="15"/>
              </w:rPr>
              <w:t>Genealogical plural need not prove multiple named daughters beyond Dinah.</w:t>
            </w:r>
          </w:p>
        </w:tc>
      </w:tr>
      <w:tr>
        <w:tc>
          <w:tcPr>
            <w:tcW w:type="dxa" w:w="3552"/>
            <w:vAlign w:val="top"/>
          </w:tcPr>
          <w:p>
            <w:pPr>
              <w:spacing w:after="0"/>
            </w:pPr>
            <w:r>
              <w:rPr>
                <w:rFonts w:ascii="Times New Roman" w:hAnsi="Times New Roman"/>
                <w:sz w:val="15"/>
              </w:rPr>
              <w:t>Gen. 46:8–25</w:t>
            </w:r>
          </w:p>
        </w:tc>
        <w:tc>
          <w:tcPr>
            <w:tcW w:type="dxa" w:w="3552"/>
            <w:vAlign w:val="top"/>
          </w:tcPr>
          <w:p>
            <w:pPr>
              <w:spacing w:after="0"/>
            </w:pPr>
            <w:r>
              <w:rPr>
                <w:rFonts w:ascii="Times New Roman" w:hAnsi="Times New Roman"/>
                <w:sz w:val="15"/>
              </w:rPr>
              <w:t>name meanings</w:t>
            </w:r>
          </w:p>
        </w:tc>
        <w:tc>
          <w:tcPr>
            <w:tcW w:type="dxa" w:w="3552"/>
            <w:vAlign w:val="top"/>
          </w:tcPr>
          <w:p>
            <w:pPr>
              <w:spacing w:after="0"/>
            </w:pPr>
            <w:r>
              <w:rPr>
                <w:rFonts w:ascii="Times New Roman" w:hAnsi="Times New Roman"/>
                <w:sz w:val="15"/>
              </w:rPr>
              <w:t>Many Mansfield etymologies are uncertain; devotional name-sentences kept secondary.</w:t>
            </w:r>
          </w:p>
        </w:tc>
      </w:tr>
      <w:tr>
        <w:tc>
          <w:tcPr>
            <w:tcW w:type="dxa" w:w="3552"/>
            <w:vAlign w:val="top"/>
          </w:tcPr>
          <w:p>
            <w:pPr>
              <w:spacing w:after="0"/>
            </w:pPr>
            <w:r>
              <w:rPr>
                <w:rFonts w:ascii="Times New Roman" w:hAnsi="Times New Roman"/>
                <w:sz w:val="15"/>
              </w:rPr>
              <w:t>Gen. 46:19–22</w:t>
            </w:r>
          </w:p>
        </w:tc>
        <w:tc>
          <w:tcPr>
            <w:tcW w:type="dxa" w:w="3552"/>
            <w:vAlign w:val="top"/>
          </w:tcPr>
          <w:p>
            <w:pPr>
              <w:spacing w:after="0"/>
            </w:pPr>
            <w:r>
              <w:rPr>
                <w:rFonts w:ascii="Times New Roman" w:hAnsi="Times New Roman"/>
                <w:sz w:val="15"/>
              </w:rPr>
              <w:t>Benjamin genealogy</w:t>
            </w:r>
          </w:p>
        </w:tc>
        <w:tc>
          <w:tcPr>
            <w:tcW w:type="dxa" w:w="3552"/>
            <w:vAlign w:val="top"/>
          </w:tcPr>
          <w:p>
            <w:pPr>
              <w:spacing w:after="0"/>
            </w:pPr>
            <w:r>
              <w:rPr>
                <w:rFonts w:ascii="Times New Roman" w:hAnsi="Times New Roman"/>
                <w:sz w:val="15"/>
              </w:rPr>
              <w:t>Later clan lists need not be immediate one-generation duplicates.</w:t>
            </w:r>
          </w:p>
        </w:tc>
      </w:tr>
      <w:tr>
        <w:tc>
          <w:tcPr>
            <w:tcW w:type="dxa" w:w="3552"/>
            <w:vAlign w:val="top"/>
          </w:tcPr>
          <w:p>
            <w:pPr>
              <w:spacing w:after="0"/>
            </w:pPr>
            <w:r>
              <w:rPr>
                <w:rFonts w:ascii="Times New Roman" w:hAnsi="Times New Roman"/>
                <w:sz w:val="15"/>
              </w:rPr>
              <w:t>Gen. 46:26</w:t>
            </w:r>
          </w:p>
        </w:tc>
        <w:tc>
          <w:tcPr>
            <w:tcW w:type="dxa" w:w="3552"/>
            <w:vAlign w:val="top"/>
          </w:tcPr>
          <w:p>
            <w:pPr>
              <w:spacing w:after="0"/>
            </w:pPr>
            <w:r>
              <w:rPr>
                <w:rFonts w:ascii="Times New Roman" w:hAnsi="Times New Roman"/>
                <w:sz w:val="15"/>
              </w:rPr>
              <w:t>66</w:t>
            </w:r>
          </w:p>
        </w:tc>
        <w:tc>
          <w:tcPr>
            <w:tcW w:type="dxa" w:w="3552"/>
            <w:vAlign w:val="top"/>
          </w:tcPr>
          <w:p>
            <w:pPr>
              <w:spacing w:after="0"/>
            </w:pPr>
            <w:r>
              <w:rPr>
                <w:rFonts w:ascii="Times New Roman" w:hAnsi="Times New Roman"/>
                <w:sz w:val="15"/>
              </w:rPr>
              <w:t>Descendants who came from Canaan, excluding wives; Jacob/Joseph/Joseph’s sons are outside this scope.</w:t>
            </w:r>
          </w:p>
        </w:tc>
      </w:tr>
      <w:tr>
        <w:tc>
          <w:tcPr>
            <w:tcW w:type="dxa" w:w="3552"/>
            <w:vAlign w:val="top"/>
          </w:tcPr>
          <w:p>
            <w:pPr>
              <w:spacing w:after="0"/>
            </w:pPr>
            <w:r>
              <w:rPr>
                <w:rFonts w:ascii="Times New Roman" w:hAnsi="Times New Roman"/>
                <w:sz w:val="15"/>
              </w:rPr>
              <w:t>Gen. 46:27</w:t>
            </w:r>
          </w:p>
        </w:tc>
        <w:tc>
          <w:tcPr>
            <w:tcW w:type="dxa" w:w="3552"/>
            <w:vAlign w:val="top"/>
          </w:tcPr>
          <w:p>
            <w:pPr>
              <w:spacing w:after="0"/>
            </w:pPr>
            <w:r>
              <w:rPr>
                <w:rFonts w:ascii="Times New Roman" w:hAnsi="Times New Roman"/>
                <w:sz w:val="15"/>
              </w:rPr>
              <w:t>70</w:t>
            </w:r>
          </w:p>
        </w:tc>
        <w:tc>
          <w:tcPr>
            <w:tcW w:type="dxa" w:w="3552"/>
            <w:vAlign w:val="top"/>
          </w:tcPr>
          <w:p>
            <w:pPr>
              <w:spacing w:after="0"/>
            </w:pPr>
            <w:r>
              <w:rPr>
                <w:rFonts w:ascii="Times New Roman" w:hAnsi="Times New Roman"/>
                <w:sz w:val="15"/>
              </w:rPr>
              <w:t>Masoretic house total: 66 + Jacob + Joseph + Manasseh + Ephraim.</w:t>
            </w:r>
          </w:p>
        </w:tc>
      </w:tr>
      <w:tr>
        <w:tc>
          <w:tcPr>
            <w:tcW w:type="dxa" w:w="3552"/>
            <w:vAlign w:val="top"/>
          </w:tcPr>
          <w:p>
            <w:pPr>
              <w:spacing w:after="0"/>
            </w:pPr>
            <w:r>
              <w:rPr>
                <w:rFonts w:ascii="Times New Roman" w:hAnsi="Times New Roman"/>
                <w:sz w:val="15"/>
              </w:rPr>
              <w:t>Acts 7:14</w:t>
            </w:r>
          </w:p>
        </w:tc>
        <w:tc>
          <w:tcPr>
            <w:tcW w:type="dxa" w:w="3552"/>
            <w:vAlign w:val="top"/>
          </w:tcPr>
          <w:p>
            <w:pPr>
              <w:spacing w:after="0"/>
            </w:pPr>
            <w:r>
              <w:rPr>
                <w:rFonts w:ascii="Times New Roman" w:hAnsi="Times New Roman"/>
                <w:sz w:val="15"/>
              </w:rPr>
              <w:t>75</w:t>
            </w:r>
          </w:p>
        </w:tc>
        <w:tc>
          <w:tcPr>
            <w:tcW w:type="dxa" w:w="3552"/>
            <w:vAlign w:val="top"/>
          </w:tcPr>
          <w:p>
            <w:pPr>
              <w:spacing w:after="0"/>
            </w:pPr>
            <w:r>
              <w:rPr>
                <w:rFonts w:ascii="Times New Roman" w:hAnsi="Times New Roman"/>
                <w:sz w:val="15"/>
              </w:rPr>
              <w:t>Agrees with Septuagint tradition containing five additional Joseph descendants; stronger than wives theory.</w:t>
            </w:r>
          </w:p>
        </w:tc>
      </w:tr>
      <w:tr>
        <w:tc>
          <w:tcPr>
            <w:tcW w:type="dxa" w:w="3552"/>
            <w:vAlign w:val="top"/>
          </w:tcPr>
          <w:p>
            <w:pPr>
              <w:spacing w:after="0"/>
            </w:pPr>
            <w:r>
              <w:rPr>
                <w:rFonts w:ascii="Times New Roman" w:hAnsi="Times New Roman"/>
                <w:sz w:val="15"/>
              </w:rPr>
              <w:t>Gen. 46:28</w:t>
            </w:r>
          </w:p>
        </w:tc>
        <w:tc>
          <w:tcPr>
            <w:tcW w:type="dxa" w:w="3552"/>
            <w:vAlign w:val="top"/>
          </w:tcPr>
          <w:p>
            <w:pPr>
              <w:spacing w:after="0"/>
            </w:pPr>
            <w:r>
              <w:rPr>
                <w:rFonts w:ascii="Times New Roman" w:hAnsi="Times New Roman"/>
                <w:sz w:val="15"/>
              </w:rPr>
              <w:t>Judah sent ahead</w:t>
            </w:r>
          </w:p>
        </w:tc>
        <w:tc>
          <w:tcPr>
            <w:tcW w:type="dxa" w:w="3552"/>
            <w:vAlign w:val="top"/>
          </w:tcPr>
          <w:p>
            <w:pPr>
              <w:spacing w:after="0"/>
            </w:pPr>
            <w:r>
              <w:rPr>
                <w:rFonts w:ascii="Times New Roman" w:hAnsi="Times New Roman"/>
                <w:sz w:val="15"/>
              </w:rPr>
              <w:t>Continues Judah’s leadership after his transformation in Gen. 43–44.</w:t>
            </w:r>
          </w:p>
        </w:tc>
      </w:tr>
      <w:tr>
        <w:tc>
          <w:tcPr>
            <w:tcW w:type="dxa" w:w="3552"/>
            <w:vAlign w:val="top"/>
          </w:tcPr>
          <w:p>
            <w:pPr>
              <w:spacing w:after="0"/>
            </w:pPr>
            <w:r>
              <w:rPr>
                <w:rFonts w:ascii="Times New Roman" w:hAnsi="Times New Roman"/>
                <w:sz w:val="15"/>
              </w:rPr>
              <w:t>Gen. 46:29</w:t>
            </w:r>
          </w:p>
        </w:tc>
        <w:tc>
          <w:tcPr>
            <w:tcW w:type="dxa" w:w="3552"/>
            <w:vAlign w:val="top"/>
          </w:tcPr>
          <w:p>
            <w:pPr>
              <w:spacing w:after="0"/>
            </w:pPr>
            <w:r>
              <w:rPr>
                <w:rFonts w:ascii="Times New Roman" w:hAnsi="Times New Roman"/>
                <w:sz w:val="15"/>
              </w:rPr>
              <w:t>“a good while”</w:t>
            </w:r>
          </w:p>
        </w:tc>
        <w:tc>
          <w:tcPr>
            <w:tcW w:type="dxa" w:w="3552"/>
            <w:vAlign w:val="top"/>
          </w:tcPr>
          <w:p>
            <w:pPr>
              <w:spacing w:after="0"/>
            </w:pPr>
            <w:r>
              <w:rPr>
                <w:rFonts w:ascii="Times New Roman" w:hAnsi="Times New Roman"/>
                <w:sz w:val="15"/>
              </w:rPr>
              <w:t>Extended weeping; emotional reunion after long separation.</w:t>
            </w:r>
          </w:p>
        </w:tc>
      </w:tr>
      <w:tr>
        <w:tc>
          <w:tcPr>
            <w:tcW w:type="dxa" w:w="3552"/>
            <w:vAlign w:val="top"/>
          </w:tcPr>
          <w:p>
            <w:pPr>
              <w:spacing w:after="0"/>
            </w:pPr>
            <w:r>
              <w:rPr>
                <w:rFonts w:ascii="Times New Roman" w:hAnsi="Times New Roman"/>
                <w:sz w:val="15"/>
              </w:rPr>
              <w:t>Gen. 46:34</w:t>
            </w:r>
          </w:p>
        </w:tc>
        <w:tc>
          <w:tcPr>
            <w:tcW w:type="dxa" w:w="3552"/>
            <w:vAlign w:val="top"/>
          </w:tcPr>
          <w:p>
            <w:pPr>
              <w:spacing w:after="0"/>
            </w:pPr>
            <w:r>
              <w:rPr>
                <w:rFonts w:ascii="Times New Roman" w:hAnsi="Times New Roman"/>
                <w:sz w:val="15"/>
              </w:rPr>
              <w:t>shepherd abomination</w:t>
            </w:r>
          </w:p>
        </w:tc>
        <w:tc>
          <w:tcPr>
            <w:tcW w:type="dxa" w:w="3552"/>
            <w:vAlign w:val="top"/>
          </w:tcPr>
          <w:p>
            <w:pPr>
              <w:spacing w:after="0"/>
            </w:pPr>
            <w:r>
              <w:rPr>
                <w:rFonts w:ascii="Times New Roman" w:hAnsi="Times New Roman"/>
                <w:sz w:val="15"/>
              </w:rPr>
              <w:t>Biblical fact secure; exact Hyksos explanation remains debated.</w:t>
            </w:r>
          </w:p>
        </w:tc>
      </w:tr>
    </w:tbl>
    <w:p>
      <w:pPr>
        <w:pStyle w:val="Heading1"/>
      </w:pPr>
      <w:r>
        <w:t>RESIDUAL UNCERTAINTIES</w:t>
      </w:r>
    </w:p>
    <w:p>
      <w:pPr/>
      <w:r>
        <w:rPr>
          <w:i w:val="0"/>
        </w:rPr>
        <w:t>Many personal-name etymologies and precise harmonisations of Benjamin’s descendants remain uncertain. Ancient genealogies do not always operate as modern biological-generation lists. The exact historical reason for Egyptian aversion to shepherds and the exact ancient borders of Goshen are debated. Mansfield’s additional numerical symbolism of seventy and detailed Hyksos reconstruction remain interpretative rather than required by Genesis 46.</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2"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