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48</w:t>
      </w:r>
    </w:p>
    <w:p>
      <w:pPr>
        <w:pStyle w:val="Subtitle"/>
      </w:pPr>
      <w:r>
        <w:t>JOSEPH’S SONS ADOPTED • EPHRAIM BEFORE MANASSEH • “GUIDING HIS HANDS WITTINGLY” • SHEPHERD AND REDEEMER • JOSEPH’S PORTION</w:t>
      </w:r>
    </w:p>
    <w:p>
      <w:pPr/>
      <w:r>
        <w:rPr>
          <w:i/>
        </w:rPr>
        <w:t>H. P. Mansfield Bible notes — checked and arranged in verse-by-verse Expositor style</w:t>
      </w:r>
    </w:p>
    <w:p>
      <w:pPr/>
      <w:r>
        <w:rPr>
          <w:i w:val="0"/>
        </w:rPr>
        <w:t>Source: HPB 02-Gen42-Lev11.pdf, principally Genesis 48 photographed pages 10–13</w:t>
      </w:r>
    </w:p>
    <w:p>
      <w:pPr>
        <w:pStyle w:val="Heading1"/>
      </w:pPr>
      <w:r>
        <w:t>CHAPTER OVERVIEW</w:t>
      </w:r>
    </w:p>
    <w:p>
      <w:pPr/>
      <w:r>
        <w:rPr>
          <w:i w:val="0"/>
        </w:rPr>
        <w:t>Genesis 48 formally incorporates Ephraim and Manasseh into Israel as tribal sons and gives Joseph the double tribal portion associated with firstborn status. The central visual act is Jacob’s crossed hands: Joseph expects the right hand upon Manasseh, but Jacob deliberately places it upon Ephraim. The text explicitly removes the possibility that this is merely an old man’s mistake.</w:t>
      </w:r>
    </w:p>
    <w:p>
      <w:pPr/>
      <w:r>
        <w:rPr>
          <w:i w:val="0"/>
        </w:rPr>
        <w:t>The chapter also contains one of Jacob’s finest summaries of his life: the God before whom Abraham and Isaac walked is the God who has shepherded Jacob all his life, and the Angel who redeemed him from all evil. At death Jacob interprets a difficult pilgrimage through Divine guidance and redemption rather than through his failures alone.</w:t>
      </w:r>
    </w:p>
    <w:p>
      <w:pPr>
        <w:pStyle w:val="Heading1"/>
      </w:pPr>
      <w:r>
        <w:t>JACOB RECALLS THE COVENANT — GENESIS 48:1–4</w:t>
      </w:r>
    </w:p>
    <w:p>
      <w:pPr>
        <w:pStyle w:val="Heading2"/>
      </w:pPr>
      <w:r>
        <w:t>Genesis 48:1–2 — Jacob strengthens himself as Israel</w:t>
      </w:r>
    </w:p>
    <w:p>
      <w:pPr/>
      <w:r>
        <w:rPr>
          <w:i w:val="0"/>
        </w:rPr>
        <w:t>Joseph hears that Jacob is sick and brings Manasseh and Ephraim. When Joseph arrives, “Israel strengthened himself, and sat upon the bed.” The narrative’s use of Israel is fitting as the dying patriarch prepares to act in relation to the covenant and tribal inheritance. The exact ages of Joseph’s sons are not stated; estimates around the late teens or early twenties depend on chronology and should remain approximate.</w:t>
      </w:r>
    </w:p>
    <w:p>
      <w:pPr>
        <w:pStyle w:val="Heading2"/>
      </w:pPr>
      <w:r>
        <w:t>Genesis 48:3–4 — El Shaddai at Luz</w:t>
      </w:r>
    </w:p>
    <w:p>
      <w:pPr/>
      <w:r>
        <w:rPr>
          <w:i w:val="0"/>
        </w:rPr>
        <w:t>Jacob recalls El Shaddai appearing at Luz/Bethel in Canaan and promising fruitfulness, multiplication, a company of peoples and the land as an everlasting possession to his seed. The adoption of Joseph’s sons is therefore framed by covenant purpose, not sentimental favouritism.</w:t>
      </w:r>
    </w:p>
    <w:p>
      <w:pPr/>
      <w:r>
        <w:rPr>
          <w:i w:val="0"/>
        </w:rPr>
        <w:t>Mansfield develops qahal and “peoples” into a detailed ecclesial-Gentile scheme. Qahal certainly denotes an assembly/congregation, but the promise should first be read as multiplication of Jacob’s covenant descendants; wider application through the Abrahamic Gospel belongs to the larger biblical theology rather than to a hidden lexical translation.</w:t>
      </w:r>
    </w:p>
    <w:p>
      <w:pPr>
        <w:pStyle w:val="Heading1"/>
      </w:pPr>
      <w:r>
        <w:t>EPHRAIM AND MANASSEH ADOPTED — GENESIS 48:5–7</w:t>
      </w:r>
    </w:p>
    <w:p>
      <w:pPr>
        <w:pStyle w:val="Heading2"/>
      </w:pPr>
      <w:r>
        <w:t>Genesis 48:5 — “as Reuben and Simeon, they shall be mine”</w:t>
      </w:r>
    </w:p>
    <w:p>
      <w:pPr/>
      <w:r>
        <w:rPr>
          <w:i w:val="0"/>
        </w:rPr>
        <w:t>Jacob declares that Ephraim and Manasseh, born before his arrival in Egypt, are to be counted as his own sons, “as Reuben and Simeon.” This elevates Joseph’s two sons to independent tribal standing and gives Joseph two tribal inheritances. First Chronicles 5:1–2 explicitly explains the larger background: Reuben lost the birthright because of his defilement, and the birthright was given to the sons of Joseph, although Judah received the chief-ruler line.</w:t>
      </w:r>
    </w:p>
    <w:p>
      <w:pPr/>
      <w:r>
        <w:rPr>
          <w:i w:val="0"/>
        </w:rPr>
        <w:t>Jacob names Ephraim before Manasseh already in verse 5, anticipating the precedence made explicit in the blessing.</w:t>
      </w:r>
    </w:p>
    <w:p>
      <w:pPr>
        <w:pStyle w:val="Heading2"/>
      </w:pPr>
      <w:r>
        <w:t>Genesis 48:6 — later sons remain within Joseph’s tribal houses</w:t>
      </w:r>
    </w:p>
    <w:p>
      <w:pPr/>
      <w:r>
        <w:rPr>
          <w:i w:val="0"/>
        </w:rPr>
        <w:t>Any later children of Joseph are to belong to Joseph and be reckoned within the inheritances of Ephraim and Manasseh rather than forming further tribes. Scripture does not tell us whether Joseph had additional sons.</w:t>
      </w:r>
    </w:p>
    <w:p>
      <w:pPr>
        <w:pStyle w:val="Heading2"/>
      </w:pPr>
      <w:r>
        <w:t>Genesis 48:7 — Rachel remembered</w:t>
      </w:r>
    </w:p>
    <w:p>
      <w:pPr/>
      <w:r>
        <w:rPr>
          <w:i w:val="0"/>
        </w:rPr>
        <w:t>Jacob interrupts the legal arrangement with a personal memory: Rachel died beside him on the journey near Ephrath/Bethlehem and was buried there. The memory helps explain the emotional significance of adopting Rachel’s grandsons through Joseph, but Genesis does not say Rachel’s death is the legal basis of the double portion.</w:t>
      </w:r>
    </w:p>
    <w:p>
      <w:pPr>
        <w:pStyle w:val="Heading1"/>
      </w:pPr>
      <w:r>
        <w:t>THE SONS POSITIONED — GENESIS 48:8–14</w:t>
      </w:r>
    </w:p>
    <w:p>
      <w:pPr>
        <w:pStyle w:val="Heading2"/>
      </w:pPr>
      <w:r>
        <w:t>Genesis 48:8–11 — unexpected grace</w:t>
      </w:r>
    </w:p>
    <w:p>
      <w:pPr/>
      <w:r>
        <w:rPr>
          <w:i w:val="0"/>
        </w:rPr>
        <w:t>Israel asks about Joseph’s sons and Joseph answers, “They are my sons, whom God hath given me in this place.” Jacob asks them to come near, kisses and embraces them, and marvels: “I had not thought to see thy face: and, lo, God hath shewed me also thy seed.” The statement is a concentrated testimony to providence exceeding everything Jacob expected after years of believing Joseph dead.</w:t>
      </w:r>
    </w:p>
    <w:p>
      <w:pPr/>
      <w:r>
        <w:rPr>
          <w:i w:val="0"/>
        </w:rPr>
        <w:t>Jacob’s sight is dim with age, but the chapter carefully distinguishes physical weakness from prophetic confusion. His later insistence “I know it, my son, I know it” makes the intention unmistakable.</w:t>
      </w:r>
    </w:p>
    <w:p>
      <w:pPr>
        <w:pStyle w:val="Heading2"/>
      </w:pPr>
      <w:r>
        <w:t>Genesis 48:12–13 — Joseph arranges natural priority</w:t>
      </w:r>
    </w:p>
    <w:p>
      <w:pPr/>
      <w:r>
        <w:rPr>
          <w:i w:val="0"/>
        </w:rPr>
        <w:t>Joseph brings the sons from Jacob’s embrace, bows, and places Manasseh toward Jacob’s right hand and Ephraim toward the left. The right hand conventionally signifies the stronger/pre-eminent blessing, so Joseph deliberately arranges the firstborn to receive it.</w:t>
      </w:r>
    </w:p>
    <w:p>
      <w:pPr>
        <w:pStyle w:val="Heading2"/>
      </w:pPr>
      <w:r>
        <w:t>Genesis 48:14 — “guiding his hands wittingly”</w:t>
      </w:r>
    </w:p>
    <w:p>
      <w:pPr/>
      <w:r>
        <w:rPr>
          <w:i w:val="0"/>
        </w:rPr>
        <w:t>Israel crosses his hands: the right rests upon Ephraim, the younger, and the left upon Manasseh. The KJV “guiding his hands wittingly” translates the verb sakal, which normally carries the idea of acting wisely, prudently or intelligently. Some ancient versions make the crossing itself explicit. Either way, the force is deliberate action, not accidental misplacement caused by blindness.</w:t>
      </w:r>
    </w:p>
    <w:p>
      <w:pPr/>
      <w:r>
        <w:rPr>
          <w:i w:val="0"/>
        </w:rPr>
        <w:t>Mansfield’s list of younger-over-elder reversals is biblically useful: Seth rather than Cain’s line; Isaac rather than Ishmael; Jacob rather than Esau; Joseph’s line rather than Reuben for the birthright; Moses in leadership despite Aaron’s seniority; David chosen over elder brothers. The principle is Divine freedom of election, though each individual case has its own context and should not be flattened into one mechanical rule.</w:t>
      </w:r>
    </w:p>
    <w:p>
      <w:pPr>
        <w:pStyle w:val="Heading1"/>
      </w:pPr>
      <w:r>
        <w:t>THE GOD WHO SHEPHERDED AND REDEEMED JACOB — GENESIS 48:15–16</w:t>
      </w:r>
    </w:p>
    <w:p>
      <w:pPr>
        <w:pStyle w:val="Heading2"/>
      </w:pPr>
      <w:r>
        <w:t>Genesis 48:15 — “the God which fed me”</w:t>
      </w:r>
    </w:p>
    <w:p>
      <w:pPr/>
      <w:r>
        <w:rPr>
          <w:i w:val="0"/>
        </w:rPr>
        <w:t>Jacob blesses Joseph through the two sons and invokes the God before whom Abraham and Isaac walked, “the God which fed me all my life long unto this day.” The Hebrew verb is ra‘ah, to shepherd/pasture. Jacob is therefore saying more than that God supplied food: God shepherded him throughout his life — guiding, preserving, correcting and sustaining him.</w:t>
      </w:r>
    </w:p>
    <w:p>
      <w:pPr/>
      <w:r>
        <w:rPr>
          <w:i w:val="0"/>
        </w:rPr>
        <w:t>Psalm 80:1 later addresses the “Shepherd of Israel,” and Genesis 49:24 will speak of “the shepherd, the stone of Israel.” Mansfield’s inserted “God of Jacob” study appropriately gathers this shepherding theme across the wider Scriptures.</w:t>
      </w:r>
    </w:p>
    <w:p>
      <w:pPr>
        <w:pStyle w:val="Heading2"/>
      </w:pPr>
      <w:r>
        <w:t>Genesis 48:16 — “the Angel which redeemed me from all evil”</w:t>
      </w:r>
    </w:p>
    <w:p>
      <w:pPr/>
      <w:r>
        <w:rPr>
          <w:i w:val="0"/>
        </w:rPr>
        <w:t>Jacob invokes “the Angel which redeemed me from all evil.” The verb is from ga’al, and the participial idea is go’el — redeemer/kinsman-vindicator. This is the first occurrence of this major redemption vocabulary in Scripture. Here the redemption is Jacob’s experienced deliverance from the dangers and evils of his pilgrimage.</w:t>
      </w:r>
    </w:p>
    <w:p>
      <w:pPr/>
      <w:r>
        <w:rPr>
          <w:i w:val="0"/>
        </w:rPr>
        <w:t>The angel is not presented as an independent deity beside God. Biblical angelic manifestation allows God’s representative messenger to bear and execute Divine authority. Hosea 12:3–5 similarly interprets Jacob’s wrestling encounter through the angel while speaking of Yahweh, God of hosts.</w:t>
      </w:r>
    </w:p>
    <w:p>
      <w:pPr/>
      <w:r>
        <w:rPr>
          <w:i w:val="0"/>
        </w:rPr>
        <w:t>Jacob asks that the patriarchal name be called upon the boys and that they “grow into a multitude.” The verb dagah is related to dag, fish, and vividly suggests multiplying/swarming like fish. The blessing is therefore one of extraordinary increase within Israel.</w:t>
      </w:r>
    </w:p>
    <w:p>
      <w:pPr>
        <w:pStyle w:val="Heading1"/>
      </w:pPr>
      <w:r>
        <w:t>EPHRAIM’S PRECEDENCE CONFIRMED — GENESIS 48:17–21</w:t>
      </w:r>
    </w:p>
    <w:p>
      <w:pPr>
        <w:pStyle w:val="Heading2"/>
      </w:pPr>
      <w:r>
        <w:t>Genesis 48:17–18 — Joseph tries to correct Jacob</w:t>
      </w:r>
    </w:p>
    <w:p>
      <w:pPr/>
      <w:r>
        <w:rPr>
          <w:i w:val="0"/>
        </w:rPr>
        <w:t>Joseph is displeased when he sees the right hand on Ephraim and attempts to move it to Manasseh, explaining that Manasseh is the firstborn. Joseph’s concern is understandable: he assumes his father has made an age-related mistake.</w:t>
      </w:r>
    </w:p>
    <w:p>
      <w:pPr>
        <w:pStyle w:val="Heading2"/>
      </w:pPr>
      <w:r>
        <w:t>Genesis 48:19 — “I know it, my son, I know it”</w:t>
      </w:r>
    </w:p>
    <w:p>
      <w:pPr/>
      <w:r>
        <w:rPr>
          <w:i w:val="0"/>
        </w:rPr>
        <w:t>Jacob refuses the correction: “I know it, my son, I know it.” Manasseh too will become great, but Ephraim will be greater and his seed will become a “multitude/fullness of nations.” Whatever wider typological use is made of that expression, the immediate prophecy gives Ephraim tribal pre-eminence over his elder brother.</w:t>
      </w:r>
    </w:p>
    <w:p>
      <w:pPr/>
      <w:r>
        <w:rPr>
          <w:i w:val="0"/>
        </w:rPr>
        <w:t>Jeremiah 31:9 later calls Ephraim God’s “firstborn,” illustrating the legal/status sense of firstborn. Mansfield’s connection with Christ as the appointed firstborn is a valid wider biblical theme (Psalm 89:27; Colossians 1:15), but should not make Ephraim a one-to-one prophecy of Christ.</w:t>
      </w:r>
    </w:p>
    <w:p>
      <w:pPr>
        <w:pStyle w:val="Heading2"/>
      </w:pPr>
      <w:r>
        <w:t>Genesis 48:20 — Ephraim set before Manasseh</w:t>
      </w:r>
    </w:p>
    <w:p>
      <w:pPr/>
      <w:r>
        <w:rPr>
          <w:i w:val="0"/>
        </w:rPr>
        <w:t>The blessing formula becomes proverbial: “God make thee as Ephraim and as Manasseh.” The narrator closes by stating explicitly that Jacob set Ephraim before Manasseh. The reversal is therefore permanent and intentional.</w:t>
      </w:r>
    </w:p>
    <w:p>
      <w:pPr>
        <w:pStyle w:val="Heading2"/>
      </w:pPr>
      <w:r>
        <w:t>Genesis 48:21 — death does not end the promise</w:t>
      </w:r>
    </w:p>
    <w:p>
      <w:pPr/>
      <w:r>
        <w:rPr>
          <w:i w:val="0"/>
        </w:rPr>
        <w:t>Israel tells Joseph, “Behold, I die: but God shall be with you, and bring you again unto the land of your fathers.” Jacob’s confidence is not tied to his continued personal leadership. The covenant God will remain with the descendants and eventually bring them out of Egypt.</w:t>
      </w:r>
    </w:p>
    <w:p>
      <w:pPr>
        <w:pStyle w:val="Heading1"/>
      </w:pPr>
      <w:r>
        <w:t>JOSEPH’S “ONE PORTION” — GENESIS 48:22</w:t>
      </w:r>
    </w:p>
    <w:p>
      <w:pPr>
        <w:pStyle w:val="Heading2"/>
      </w:pPr>
      <w:r>
        <w:t>Genesis 48:22 — shechem: portion/shoulder and a difficult historical reference</w:t>
      </w:r>
    </w:p>
    <w:p>
      <w:pPr/>
      <w:r>
        <w:rPr>
          <w:i w:val="0"/>
        </w:rPr>
        <w:t>Jacob gives Joseph “one portion above thy brethren.” The word is shechem, whose ordinary sense includes shoulder/back and which can also denote a portion, while also being the name Shechem. The wordplay is almost certainly intentional because Joseph’s bones are later buried at Shechem (Joshua 24:32).</w:t>
      </w:r>
    </w:p>
    <w:p>
      <w:pPr/>
      <w:r>
        <w:rPr>
          <w:i w:val="0"/>
        </w:rPr>
        <w:t>The following statement — “which I took out of the hand of the Amorite with my sword and with my bow” — is historically difficult because Genesis contains no clear narrative of Jacob personally conquering such a parcel. Mansfield reconstructs an earlier Abrahamic purchase, Jacob’s later “redemption” of it, and an otherwise unrecorded armed defence after the Shechem massacre. That reconstruction goes beyond the evidence.</w:t>
      </w:r>
    </w:p>
    <w:p>
      <w:pPr/>
      <w:r>
        <w:rPr>
          <w:i w:val="0"/>
        </w:rPr>
        <w:t>Safer possibilities include a compressed reference to Jacob’s eventual possession of the Shechem district, a proleptic inheritance statement, or an unrecorded conflict. What should not be done is to turn Genesis 33:19’s ordinary purchase verb qanah into proof that Jacob was “repossessing” Abraham’s earlier purchase, or to use Acts 7:16’s difficult wording as though it settled the reconstruction. The text leaves the precise historical incident unresolved.</w:t>
      </w:r>
    </w:p>
    <w:p>
      <w:pPr>
        <w:pStyle w:val="Heading1"/>
      </w:pPr>
      <w:r>
        <w:t>PRINCIPAL THEMES</w:t>
      </w:r>
    </w:p>
    <w:p>
      <w:pPr>
        <w:ind w:left="259" w:hanging="202"/>
      </w:pPr>
      <w:r>
        <w:rPr>
          <w:b/>
        </w:rPr>
        <w:t xml:space="preserve">• </w:t>
      </w:r>
      <w:r>
        <w:t>Ephraim and Manasseh are adopted as tribal sons of Israel, giving Joseph a double tribal inheritance.</w:t>
      </w:r>
    </w:p>
    <w:p>
      <w:pPr>
        <w:ind w:left="259" w:hanging="202"/>
      </w:pPr>
      <w:r>
        <w:rPr>
          <w:b/>
        </w:rPr>
        <w:t xml:space="preserve">• </w:t>
      </w:r>
      <w:r>
        <w:t>The birthright transfer from Reuben to Joseph’s line is explicitly confirmed by 1 Chronicles 5:1–2.</w:t>
      </w:r>
    </w:p>
    <w:p>
      <w:pPr>
        <w:ind w:left="259" w:hanging="202"/>
      </w:pPr>
      <w:r>
        <w:rPr>
          <w:b/>
        </w:rPr>
        <w:t xml:space="preserve">• </w:t>
      </w:r>
      <w:r>
        <w:t>Jacob’s crossed hands are intentional; physical blindness is not prophetic confusion.</w:t>
      </w:r>
    </w:p>
    <w:p>
      <w:pPr>
        <w:ind w:left="259" w:hanging="202"/>
      </w:pPr>
      <w:r>
        <w:rPr>
          <w:b/>
        </w:rPr>
        <w:t xml:space="preserve">• </w:t>
      </w:r>
      <w:r>
        <w:t>Natural seniority does not compel Divine election.</w:t>
      </w:r>
    </w:p>
    <w:p>
      <w:pPr>
        <w:ind w:left="259" w:hanging="202"/>
      </w:pPr>
      <w:r>
        <w:rPr>
          <w:b/>
        </w:rPr>
        <w:t xml:space="preserve">• </w:t>
      </w:r>
      <w:r>
        <w:t>Jacob interprets his whole difficult pilgrimage as a life shepherded by God.</w:t>
      </w:r>
    </w:p>
    <w:p>
      <w:pPr>
        <w:ind w:left="259" w:hanging="202"/>
      </w:pPr>
      <w:r>
        <w:rPr>
          <w:b/>
        </w:rPr>
        <w:t xml:space="preserve">• </w:t>
      </w:r>
      <w:r>
        <w:t>The first biblical go’el vocabulary presents God’s angelic deliverance as redemption from evil.</w:t>
      </w:r>
    </w:p>
    <w:p>
      <w:pPr>
        <w:ind w:left="259" w:hanging="202"/>
      </w:pPr>
      <w:r>
        <w:rPr>
          <w:b/>
        </w:rPr>
        <w:t xml:space="preserve">• </w:t>
      </w:r>
      <w:r>
        <w:t>Ephraim receives prophetic precedence while Manasseh is also promised greatness.</w:t>
      </w:r>
    </w:p>
    <w:p>
      <w:pPr>
        <w:ind w:left="259" w:hanging="202"/>
      </w:pPr>
      <w:r>
        <w:rPr>
          <w:b/>
        </w:rPr>
        <w:t xml:space="preserve">• </w:t>
      </w:r>
      <w:r>
        <w:t>Jacob dies confident that God will bring the family back to the promised land.</w:t>
      </w:r>
    </w:p>
    <w:p>
      <w:pPr>
        <w:ind w:left="259" w:hanging="202"/>
      </w:pPr>
      <w:r>
        <w:rPr>
          <w:b/>
        </w:rPr>
        <w:t xml:space="preserve">• </w:t>
      </w:r>
      <w:r>
        <w:t>The exact historical event behind Joseph’s “one portion” remains genuinely difficult.</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48:1–2</w:t>
            </w:r>
          </w:p>
        </w:tc>
        <w:tc>
          <w:tcPr>
            <w:tcW w:type="dxa" w:w="3552"/>
            <w:vAlign w:val="top"/>
          </w:tcPr>
          <w:p>
            <w:pPr>
              <w:spacing w:after="0"/>
            </w:pPr>
            <w:r>
              <w:rPr>
                <w:rFonts w:ascii="Times New Roman" w:hAnsi="Times New Roman"/>
                <w:sz w:val="15"/>
              </w:rPr>
              <w:t>Israel / approximate ages</w:t>
            </w:r>
          </w:p>
        </w:tc>
        <w:tc>
          <w:tcPr>
            <w:tcW w:type="dxa" w:w="3552"/>
            <w:vAlign w:val="top"/>
          </w:tcPr>
          <w:p>
            <w:pPr>
              <w:spacing w:after="0"/>
            </w:pPr>
            <w:r>
              <w:rPr>
                <w:rFonts w:ascii="Times New Roman" w:hAnsi="Times New Roman"/>
                <w:sz w:val="15"/>
              </w:rPr>
              <w:t>Covenant name is significant; exact ages of Joseph’s sons are reconstructed, not stated.</w:t>
            </w:r>
          </w:p>
        </w:tc>
      </w:tr>
      <w:tr>
        <w:tc>
          <w:tcPr>
            <w:tcW w:type="dxa" w:w="3552"/>
            <w:vAlign w:val="top"/>
          </w:tcPr>
          <w:p>
            <w:pPr>
              <w:spacing w:after="0"/>
            </w:pPr>
            <w:r>
              <w:rPr>
                <w:rFonts w:ascii="Times New Roman" w:hAnsi="Times New Roman"/>
                <w:sz w:val="15"/>
              </w:rPr>
              <w:t>Gen. 48:3–4</w:t>
            </w:r>
          </w:p>
        </w:tc>
        <w:tc>
          <w:tcPr>
            <w:tcW w:type="dxa" w:w="3552"/>
            <w:vAlign w:val="top"/>
          </w:tcPr>
          <w:p>
            <w:pPr>
              <w:spacing w:after="0"/>
            </w:pPr>
            <w:r>
              <w:rPr>
                <w:rFonts w:ascii="Times New Roman" w:hAnsi="Times New Roman"/>
                <w:sz w:val="15"/>
              </w:rPr>
              <w:t>El Shaddai / Luz</w:t>
            </w:r>
          </w:p>
        </w:tc>
        <w:tc>
          <w:tcPr>
            <w:tcW w:type="dxa" w:w="3552"/>
            <w:vAlign w:val="top"/>
          </w:tcPr>
          <w:p>
            <w:pPr>
              <w:spacing w:after="0"/>
            </w:pPr>
            <w:r>
              <w:rPr>
                <w:rFonts w:ascii="Times New Roman" w:hAnsi="Times New Roman"/>
                <w:sz w:val="15"/>
              </w:rPr>
              <w:t>Promise recalled from Bethel/Luz and interpreted through covenant multiplication and land.</w:t>
            </w:r>
          </w:p>
        </w:tc>
      </w:tr>
      <w:tr>
        <w:tc>
          <w:tcPr>
            <w:tcW w:type="dxa" w:w="3552"/>
            <w:vAlign w:val="top"/>
          </w:tcPr>
          <w:p>
            <w:pPr>
              <w:spacing w:after="0"/>
            </w:pPr>
            <w:r>
              <w:rPr>
                <w:rFonts w:ascii="Times New Roman" w:hAnsi="Times New Roman"/>
                <w:sz w:val="15"/>
              </w:rPr>
              <w:t>Gen. 48:5</w:t>
            </w:r>
          </w:p>
        </w:tc>
        <w:tc>
          <w:tcPr>
            <w:tcW w:type="dxa" w:w="3552"/>
            <w:vAlign w:val="top"/>
          </w:tcPr>
          <w:p>
            <w:pPr>
              <w:spacing w:after="0"/>
            </w:pPr>
            <w:r>
              <w:rPr>
                <w:rFonts w:ascii="Times New Roman" w:hAnsi="Times New Roman"/>
                <w:sz w:val="15"/>
              </w:rPr>
              <w:t>1 Chr. 5:1–2</w:t>
            </w:r>
          </w:p>
        </w:tc>
        <w:tc>
          <w:tcPr>
            <w:tcW w:type="dxa" w:w="3552"/>
            <w:vAlign w:val="top"/>
          </w:tcPr>
          <w:p>
            <w:pPr>
              <w:spacing w:after="0"/>
            </w:pPr>
            <w:r>
              <w:rPr>
                <w:rFonts w:ascii="Times New Roman" w:hAnsi="Times New Roman"/>
                <w:sz w:val="15"/>
              </w:rPr>
              <w:t>Explicit biblical basis for birthright transfer to Joseph’s sons.</w:t>
            </w:r>
          </w:p>
        </w:tc>
      </w:tr>
      <w:tr>
        <w:tc>
          <w:tcPr>
            <w:tcW w:type="dxa" w:w="3552"/>
            <w:vAlign w:val="top"/>
          </w:tcPr>
          <w:p>
            <w:pPr>
              <w:spacing w:after="0"/>
            </w:pPr>
            <w:r>
              <w:rPr>
                <w:rFonts w:ascii="Times New Roman" w:hAnsi="Times New Roman"/>
                <w:sz w:val="15"/>
              </w:rPr>
              <w:t>Gen. 48:7</w:t>
            </w:r>
          </w:p>
        </w:tc>
        <w:tc>
          <w:tcPr>
            <w:tcW w:type="dxa" w:w="3552"/>
            <w:vAlign w:val="top"/>
          </w:tcPr>
          <w:p>
            <w:pPr>
              <w:spacing w:after="0"/>
            </w:pPr>
            <w:r>
              <w:rPr>
                <w:rFonts w:ascii="Times New Roman" w:hAnsi="Times New Roman"/>
                <w:sz w:val="15"/>
              </w:rPr>
              <w:t>Rachel memory</w:t>
            </w:r>
          </w:p>
        </w:tc>
        <w:tc>
          <w:tcPr>
            <w:tcW w:type="dxa" w:w="3552"/>
            <w:vAlign w:val="top"/>
          </w:tcPr>
          <w:p>
            <w:pPr>
              <w:spacing w:after="0"/>
            </w:pPr>
            <w:r>
              <w:rPr>
                <w:rFonts w:ascii="Times New Roman" w:hAnsi="Times New Roman"/>
                <w:sz w:val="15"/>
              </w:rPr>
              <w:t>Emotionally relevant, but not stated as legal basis of adoption.</w:t>
            </w:r>
          </w:p>
        </w:tc>
      </w:tr>
      <w:tr>
        <w:tc>
          <w:tcPr>
            <w:tcW w:type="dxa" w:w="3552"/>
            <w:vAlign w:val="top"/>
          </w:tcPr>
          <w:p>
            <w:pPr>
              <w:spacing w:after="0"/>
            </w:pPr>
            <w:r>
              <w:rPr>
                <w:rFonts w:ascii="Times New Roman" w:hAnsi="Times New Roman"/>
                <w:sz w:val="15"/>
              </w:rPr>
              <w:t>Gen. 48:10</w:t>
            </w:r>
          </w:p>
        </w:tc>
        <w:tc>
          <w:tcPr>
            <w:tcW w:type="dxa" w:w="3552"/>
            <w:vAlign w:val="top"/>
          </w:tcPr>
          <w:p>
            <w:pPr>
              <w:spacing w:after="0"/>
            </w:pPr>
            <w:r>
              <w:rPr>
                <w:rFonts w:ascii="Times New Roman" w:hAnsi="Times New Roman"/>
                <w:sz w:val="15"/>
              </w:rPr>
              <w:t>dim eyes</w:t>
            </w:r>
          </w:p>
        </w:tc>
        <w:tc>
          <w:tcPr>
            <w:tcW w:type="dxa" w:w="3552"/>
            <w:vAlign w:val="top"/>
          </w:tcPr>
          <w:p>
            <w:pPr>
              <w:spacing w:after="0"/>
            </w:pPr>
            <w:r>
              <w:rPr>
                <w:rFonts w:ascii="Times New Roman" w:hAnsi="Times New Roman"/>
                <w:sz w:val="15"/>
              </w:rPr>
              <w:t>Physical weakness does not explain crossed hands; v.19 explicitly confirms knowledge.</w:t>
            </w:r>
          </w:p>
        </w:tc>
      </w:tr>
      <w:tr>
        <w:tc>
          <w:tcPr>
            <w:tcW w:type="dxa" w:w="3552"/>
            <w:vAlign w:val="top"/>
          </w:tcPr>
          <w:p>
            <w:pPr>
              <w:spacing w:after="0"/>
            </w:pPr>
            <w:r>
              <w:rPr>
                <w:rFonts w:ascii="Times New Roman" w:hAnsi="Times New Roman"/>
                <w:sz w:val="15"/>
              </w:rPr>
              <w:t>Gen. 48:14</w:t>
            </w:r>
          </w:p>
        </w:tc>
        <w:tc>
          <w:tcPr>
            <w:tcW w:type="dxa" w:w="3552"/>
            <w:vAlign w:val="top"/>
          </w:tcPr>
          <w:p>
            <w:pPr>
              <w:spacing w:after="0"/>
            </w:pPr>
            <w:r>
              <w:rPr>
                <w:rFonts w:ascii="Times New Roman" w:hAnsi="Times New Roman"/>
                <w:sz w:val="15"/>
              </w:rPr>
              <w:t>sakal</w:t>
            </w:r>
          </w:p>
        </w:tc>
        <w:tc>
          <w:tcPr>
            <w:tcW w:type="dxa" w:w="3552"/>
            <w:vAlign w:val="top"/>
          </w:tcPr>
          <w:p>
            <w:pPr>
              <w:spacing w:after="0"/>
            </w:pPr>
            <w:r>
              <w:rPr>
                <w:rFonts w:ascii="Times New Roman" w:hAnsi="Times New Roman"/>
                <w:sz w:val="15"/>
              </w:rPr>
              <w:t>Act wisely/intelligently/deliberately; supports “wittingly.”</w:t>
            </w:r>
          </w:p>
        </w:tc>
      </w:tr>
      <w:tr>
        <w:tc>
          <w:tcPr>
            <w:tcW w:type="dxa" w:w="3552"/>
            <w:vAlign w:val="top"/>
          </w:tcPr>
          <w:p>
            <w:pPr>
              <w:spacing w:after="0"/>
            </w:pPr>
            <w:r>
              <w:rPr>
                <w:rFonts w:ascii="Times New Roman" w:hAnsi="Times New Roman"/>
                <w:sz w:val="15"/>
              </w:rPr>
              <w:t>Gen. 48:14</w:t>
            </w:r>
          </w:p>
        </w:tc>
        <w:tc>
          <w:tcPr>
            <w:tcW w:type="dxa" w:w="3552"/>
            <w:vAlign w:val="top"/>
          </w:tcPr>
          <w:p>
            <w:pPr>
              <w:spacing w:after="0"/>
            </w:pPr>
            <w:r>
              <w:rPr>
                <w:rFonts w:ascii="Times New Roman" w:hAnsi="Times New Roman"/>
                <w:sz w:val="15"/>
              </w:rPr>
              <w:t>crossed hands</w:t>
            </w:r>
          </w:p>
        </w:tc>
        <w:tc>
          <w:tcPr>
            <w:tcW w:type="dxa" w:w="3552"/>
            <w:vAlign w:val="top"/>
          </w:tcPr>
          <w:p>
            <w:pPr>
              <w:spacing w:after="0"/>
            </w:pPr>
            <w:r>
              <w:rPr>
                <w:rFonts w:ascii="Times New Roman" w:hAnsi="Times New Roman"/>
                <w:sz w:val="15"/>
              </w:rPr>
              <w:t>Ancient versions explicitly represent crossing; intentional reversal secure.</w:t>
            </w:r>
          </w:p>
        </w:tc>
      </w:tr>
      <w:tr>
        <w:tc>
          <w:tcPr>
            <w:tcW w:type="dxa" w:w="3552"/>
            <w:vAlign w:val="top"/>
          </w:tcPr>
          <w:p>
            <w:pPr>
              <w:spacing w:after="0"/>
            </w:pPr>
            <w:r>
              <w:rPr>
                <w:rFonts w:ascii="Times New Roman" w:hAnsi="Times New Roman"/>
                <w:sz w:val="15"/>
              </w:rPr>
              <w:t>Gen. 48:15</w:t>
            </w:r>
          </w:p>
        </w:tc>
        <w:tc>
          <w:tcPr>
            <w:tcW w:type="dxa" w:w="3552"/>
            <w:vAlign w:val="top"/>
          </w:tcPr>
          <w:p>
            <w:pPr>
              <w:spacing w:after="0"/>
            </w:pPr>
            <w:r>
              <w:rPr>
                <w:rFonts w:ascii="Times New Roman" w:hAnsi="Times New Roman"/>
                <w:sz w:val="15"/>
              </w:rPr>
              <w:t>ra‘ah</w:t>
            </w:r>
          </w:p>
        </w:tc>
        <w:tc>
          <w:tcPr>
            <w:tcW w:type="dxa" w:w="3552"/>
            <w:vAlign w:val="top"/>
          </w:tcPr>
          <w:p>
            <w:pPr>
              <w:spacing w:after="0"/>
            </w:pPr>
            <w:r>
              <w:rPr>
                <w:rFonts w:ascii="Times New Roman" w:hAnsi="Times New Roman"/>
                <w:sz w:val="15"/>
              </w:rPr>
              <w:t>Shepherd/pasture; “fed me” includes lifelong guidance and care.</w:t>
            </w:r>
          </w:p>
        </w:tc>
      </w:tr>
      <w:tr>
        <w:tc>
          <w:tcPr>
            <w:tcW w:type="dxa" w:w="3552"/>
            <w:vAlign w:val="top"/>
          </w:tcPr>
          <w:p>
            <w:pPr>
              <w:spacing w:after="0"/>
            </w:pPr>
            <w:r>
              <w:rPr>
                <w:rFonts w:ascii="Times New Roman" w:hAnsi="Times New Roman"/>
                <w:sz w:val="15"/>
              </w:rPr>
              <w:t>Gen. 48:16</w:t>
            </w:r>
          </w:p>
        </w:tc>
        <w:tc>
          <w:tcPr>
            <w:tcW w:type="dxa" w:w="3552"/>
            <w:vAlign w:val="top"/>
          </w:tcPr>
          <w:p>
            <w:pPr>
              <w:spacing w:after="0"/>
            </w:pPr>
            <w:r>
              <w:rPr>
                <w:rFonts w:ascii="Times New Roman" w:hAnsi="Times New Roman"/>
                <w:sz w:val="15"/>
              </w:rPr>
              <w:t>ga’al / go’el</w:t>
            </w:r>
          </w:p>
        </w:tc>
        <w:tc>
          <w:tcPr>
            <w:tcW w:type="dxa" w:w="3552"/>
            <w:vAlign w:val="top"/>
          </w:tcPr>
          <w:p>
            <w:pPr>
              <w:spacing w:after="0"/>
            </w:pPr>
            <w:r>
              <w:rPr>
                <w:rFonts w:ascii="Times New Roman" w:hAnsi="Times New Roman"/>
                <w:sz w:val="15"/>
              </w:rPr>
              <w:t>Redeem/redeemer vocabulary; first biblical occurrence of this major root in the narrative.</w:t>
            </w:r>
          </w:p>
        </w:tc>
      </w:tr>
      <w:tr>
        <w:tc>
          <w:tcPr>
            <w:tcW w:type="dxa" w:w="3552"/>
            <w:vAlign w:val="top"/>
          </w:tcPr>
          <w:p>
            <w:pPr>
              <w:spacing w:after="0"/>
            </w:pPr>
            <w:r>
              <w:rPr>
                <w:rFonts w:ascii="Times New Roman" w:hAnsi="Times New Roman"/>
                <w:sz w:val="15"/>
              </w:rPr>
              <w:t>Gen. 48:16</w:t>
            </w:r>
          </w:p>
        </w:tc>
        <w:tc>
          <w:tcPr>
            <w:tcW w:type="dxa" w:w="3552"/>
            <w:vAlign w:val="top"/>
          </w:tcPr>
          <w:p>
            <w:pPr>
              <w:spacing w:after="0"/>
            </w:pPr>
            <w:r>
              <w:rPr>
                <w:rFonts w:ascii="Times New Roman" w:hAnsi="Times New Roman"/>
                <w:sz w:val="15"/>
              </w:rPr>
              <w:t>dagah</w:t>
            </w:r>
          </w:p>
        </w:tc>
        <w:tc>
          <w:tcPr>
            <w:tcW w:type="dxa" w:w="3552"/>
            <w:vAlign w:val="top"/>
          </w:tcPr>
          <w:p>
            <w:pPr>
              <w:spacing w:after="0"/>
            </w:pPr>
            <w:r>
              <w:rPr>
                <w:rFonts w:ascii="Times New Roman" w:hAnsi="Times New Roman"/>
                <w:sz w:val="15"/>
              </w:rPr>
              <w:t>Multiply/swarm like fish; vivid increase image.</w:t>
            </w:r>
          </w:p>
        </w:tc>
      </w:tr>
      <w:tr>
        <w:tc>
          <w:tcPr>
            <w:tcW w:type="dxa" w:w="3552"/>
            <w:vAlign w:val="top"/>
          </w:tcPr>
          <w:p>
            <w:pPr>
              <w:spacing w:after="0"/>
            </w:pPr>
            <w:r>
              <w:rPr>
                <w:rFonts w:ascii="Times New Roman" w:hAnsi="Times New Roman"/>
                <w:sz w:val="15"/>
              </w:rPr>
              <w:t>Gen. 48:19</w:t>
            </w:r>
          </w:p>
        </w:tc>
        <w:tc>
          <w:tcPr>
            <w:tcW w:type="dxa" w:w="3552"/>
            <w:vAlign w:val="top"/>
          </w:tcPr>
          <w:p>
            <w:pPr>
              <w:spacing w:after="0"/>
            </w:pPr>
            <w:r>
              <w:rPr>
                <w:rFonts w:ascii="Times New Roman" w:hAnsi="Times New Roman"/>
                <w:sz w:val="15"/>
              </w:rPr>
              <w:t>Jer. 31:9</w:t>
            </w:r>
          </w:p>
        </w:tc>
        <w:tc>
          <w:tcPr>
            <w:tcW w:type="dxa" w:w="3552"/>
            <w:vAlign w:val="top"/>
          </w:tcPr>
          <w:p>
            <w:pPr>
              <w:spacing w:after="0"/>
            </w:pPr>
            <w:r>
              <w:rPr>
                <w:rFonts w:ascii="Times New Roman" w:hAnsi="Times New Roman"/>
                <w:sz w:val="15"/>
              </w:rPr>
              <w:t>Later Scripture calls Ephraim firstborn in status despite Manasseh’s natural seniority.</w:t>
            </w:r>
          </w:p>
        </w:tc>
      </w:tr>
      <w:tr>
        <w:tc>
          <w:tcPr>
            <w:tcW w:type="dxa" w:w="3552"/>
            <w:vAlign w:val="top"/>
          </w:tcPr>
          <w:p>
            <w:pPr>
              <w:spacing w:after="0"/>
            </w:pPr>
            <w:r>
              <w:rPr>
                <w:rFonts w:ascii="Times New Roman" w:hAnsi="Times New Roman"/>
                <w:sz w:val="15"/>
              </w:rPr>
              <w:t>Gen. 48:20</w:t>
            </w:r>
          </w:p>
        </w:tc>
        <w:tc>
          <w:tcPr>
            <w:tcW w:type="dxa" w:w="3552"/>
            <w:vAlign w:val="top"/>
          </w:tcPr>
          <w:p>
            <w:pPr>
              <w:spacing w:after="0"/>
            </w:pPr>
            <w:r>
              <w:rPr>
                <w:rFonts w:ascii="Times New Roman" w:hAnsi="Times New Roman"/>
                <w:sz w:val="15"/>
              </w:rPr>
              <w:t>Ephraim before Manasseh</w:t>
            </w:r>
          </w:p>
        </w:tc>
        <w:tc>
          <w:tcPr>
            <w:tcW w:type="dxa" w:w="3552"/>
            <w:vAlign w:val="top"/>
          </w:tcPr>
          <w:p>
            <w:pPr>
              <w:spacing w:after="0"/>
            </w:pPr>
            <w:r>
              <w:rPr>
                <w:rFonts w:ascii="Times New Roman" w:hAnsi="Times New Roman"/>
                <w:sz w:val="15"/>
              </w:rPr>
              <w:t>Narrator explicitly confirms permanent precedence.</w:t>
            </w:r>
          </w:p>
        </w:tc>
      </w:tr>
      <w:tr>
        <w:tc>
          <w:tcPr>
            <w:tcW w:type="dxa" w:w="3552"/>
            <w:vAlign w:val="top"/>
          </w:tcPr>
          <w:p>
            <w:pPr>
              <w:spacing w:after="0"/>
            </w:pPr>
            <w:r>
              <w:rPr>
                <w:rFonts w:ascii="Times New Roman" w:hAnsi="Times New Roman"/>
                <w:sz w:val="15"/>
              </w:rPr>
              <w:t>Gen. 48:21</w:t>
            </w:r>
          </w:p>
        </w:tc>
        <w:tc>
          <w:tcPr>
            <w:tcW w:type="dxa" w:w="3552"/>
            <w:vAlign w:val="top"/>
          </w:tcPr>
          <w:p>
            <w:pPr>
              <w:spacing w:after="0"/>
            </w:pPr>
            <w:r>
              <w:rPr>
                <w:rFonts w:ascii="Times New Roman" w:hAnsi="Times New Roman"/>
                <w:sz w:val="15"/>
              </w:rPr>
              <w:t>return promise</w:t>
            </w:r>
          </w:p>
        </w:tc>
        <w:tc>
          <w:tcPr>
            <w:tcW w:type="dxa" w:w="3552"/>
            <w:vAlign w:val="top"/>
          </w:tcPr>
          <w:p>
            <w:pPr>
              <w:spacing w:after="0"/>
            </w:pPr>
            <w:r>
              <w:rPr>
                <w:rFonts w:ascii="Times New Roman" w:hAnsi="Times New Roman"/>
                <w:sz w:val="15"/>
              </w:rPr>
              <w:t>Death of Jacob does not end Divine presence or return to Canaan.</w:t>
            </w:r>
          </w:p>
        </w:tc>
      </w:tr>
      <w:tr>
        <w:tc>
          <w:tcPr>
            <w:tcW w:type="dxa" w:w="3552"/>
            <w:vAlign w:val="top"/>
          </w:tcPr>
          <w:p>
            <w:pPr>
              <w:spacing w:after="0"/>
            </w:pPr>
            <w:r>
              <w:rPr>
                <w:rFonts w:ascii="Times New Roman" w:hAnsi="Times New Roman"/>
                <w:sz w:val="15"/>
              </w:rPr>
              <w:t>Gen. 48:22</w:t>
            </w:r>
          </w:p>
        </w:tc>
        <w:tc>
          <w:tcPr>
            <w:tcW w:type="dxa" w:w="3552"/>
            <w:vAlign w:val="top"/>
          </w:tcPr>
          <w:p>
            <w:pPr>
              <w:spacing w:after="0"/>
            </w:pPr>
            <w:r>
              <w:rPr>
                <w:rFonts w:ascii="Times New Roman" w:hAnsi="Times New Roman"/>
                <w:sz w:val="15"/>
              </w:rPr>
              <w:t>shechem</w:t>
            </w:r>
          </w:p>
        </w:tc>
        <w:tc>
          <w:tcPr>
            <w:tcW w:type="dxa" w:w="3552"/>
            <w:vAlign w:val="top"/>
          </w:tcPr>
          <w:p>
            <w:pPr>
              <w:spacing w:after="0"/>
            </w:pPr>
            <w:r>
              <w:rPr>
                <w:rFonts w:ascii="Times New Roman" w:hAnsi="Times New Roman"/>
                <w:sz w:val="15"/>
              </w:rPr>
              <w:t>Portion/shoulder + place-name wordplay; relation to Shechem likely.</w:t>
            </w:r>
          </w:p>
        </w:tc>
      </w:tr>
      <w:tr>
        <w:tc>
          <w:tcPr>
            <w:tcW w:type="dxa" w:w="3552"/>
            <w:vAlign w:val="top"/>
          </w:tcPr>
          <w:p>
            <w:pPr>
              <w:spacing w:after="0"/>
            </w:pPr>
            <w:r>
              <w:rPr>
                <w:rFonts w:ascii="Times New Roman" w:hAnsi="Times New Roman"/>
                <w:sz w:val="15"/>
              </w:rPr>
              <w:t>Gen. 48:22</w:t>
            </w:r>
          </w:p>
        </w:tc>
        <w:tc>
          <w:tcPr>
            <w:tcW w:type="dxa" w:w="3552"/>
            <w:vAlign w:val="top"/>
          </w:tcPr>
          <w:p>
            <w:pPr>
              <w:spacing w:after="0"/>
            </w:pPr>
            <w:r>
              <w:rPr>
                <w:rFonts w:ascii="Times New Roman" w:hAnsi="Times New Roman"/>
                <w:sz w:val="15"/>
              </w:rPr>
              <w:t>sword and bow</w:t>
            </w:r>
          </w:p>
        </w:tc>
        <w:tc>
          <w:tcPr>
            <w:tcW w:type="dxa" w:w="3552"/>
            <w:vAlign w:val="top"/>
          </w:tcPr>
          <w:p>
            <w:pPr>
              <w:spacing w:after="0"/>
            </w:pPr>
            <w:r>
              <w:rPr>
                <w:rFonts w:ascii="Times New Roman" w:hAnsi="Times New Roman"/>
                <w:sz w:val="15"/>
              </w:rPr>
              <w:t>Historical incident not narrated clearly; Mansfield’s battle/recovery reconstruction kept uncertain.</w:t>
            </w:r>
          </w:p>
        </w:tc>
      </w:tr>
      <w:tr>
        <w:tc>
          <w:tcPr>
            <w:tcW w:type="dxa" w:w="3552"/>
            <w:vAlign w:val="top"/>
          </w:tcPr>
          <w:p>
            <w:pPr>
              <w:spacing w:after="0"/>
            </w:pPr>
            <w:r>
              <w:rPr>
                <w:rFonts w:ascii="Times New Roman" w:hAnsi="Times New Roman"/>
                <w:sz w:val="15"/>
              </w:rPr>
              <w:t>Gen. 48:22</w:t>
            </w:r>
          </w:p>
        </w:tc>
        <w:tc>
          <w:tcPr>
            <w:tcW w:type="dxa" w:w="3552"/>
            <w:vAlign w:val="top"/>
          </w:tcPr>
          <w:p>
            <w:pPr>
              <w:spacing w:after="0"/>
            </w:pPr>
            <w:r>
              <w:rPr>
                <w:rFonts w:ascii="Times New Roman" w:hAnsi="Times New Roman"/>
                <w:sz w:val="15"/>
              </w:rPr>
              <w:t>qanah / Acts 7:16</w:t>
            </w:r>
          </w:p>
        </w:tc>
        <w:tc>
          <w:tcPr>
            <w:tcW w:type="dxa" w:w="3552"/>
            <w:vAlign w:val="top"/>
          </w:tcPr>
          <w:p>
            <w:pPr>
              <w:spacing w:after="0"/>
            </w:pPr>
            <w:r>
              <w:rPr>
                <w:rFonts w:ascii="Times New Roman" w:hAnsi="Times New Roman"/>
                <w:sz w:val="15"/>
              </w:rPr>
              <w:t>Neither proves an earlier Abrahamic purchase subsequently “redeemed” by Jacob.</w:t>
            </w:r>
          </w:p>
        </w:tc>
      </w:tr>
    </w:tbl>
    <w:p>
      <w:pPr>
        <w:pStyle w:val="Heading1"/>
      </w:pPr>
      <w:r>
        <w:t>RESIDUAL UNCERTAINTIES</w:t>
      </w:r>
    </w:p>
    <w:p>
      <w:pPr/>
      <w:r>
        <w:rPr>
          <w:i w:val="0"/>
        </w:rPr>
        <w:t>The exact ages of Ephraim and Manasseh, detailed demographic calculations attached to their multiplication, and many expanded younger-over-elder typological parallels are not verse data. Genesis 48:22 remains the principal unresolved historical point: the relationship among “one shechem,” Jacob’s sword and bow, the purchased parcel at Shechem, and Acts 7:16 cannot be reconstructed with certainty from the surviving biblical record.</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48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8"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4" w:after="2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2" w:after="20"/>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