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49</w:t>
      </w:r>
    </w:p>
    <w:p>
      <w:pPr>
        <w:pStyle w:val="Subtitle"/>
      </w:pPr>
      <w:r>
        <w:t>JACOB’S FINAL PROPHECIES • REUBEN, SIMEON AND LEVI • JUDAH AND SHILOH • THE TRIBES • JOSEPH BLESSED • MACHPELAH AND DEATH</w:t>
      </w:r>
    </w:p>
    <w:p>
      <w:pPr/>
      <w:r>
        <w:rPr>
          <w:i/>
        </w:rPr>
        <w:t>H. P. Mansfield Bible notes — checked and arranged in verse-by-verse Expositor style</w:t>
      </w:r>
    </w:p>
    <w:p>
      <w:pPr/>
      <w:r>
        <w:rPr>
          <w:i w:val="0"/>
        </w:rPr>
        <w:t>Source: HPB 02-Gen42-Lev11.pdf, principally Genesis 49 photographed pages 12–15</w:t>
      </w:r>
    </w:p>
    <w:p>
      <w:pPr>
        <w:pStyle w:val="Heading1"/>
      </w:pPr>
      <w:r>
        <w:t>CHAPTER OVERVIEW</w:t>
      </w:r>
    </w:p>
    <w:p>
      <w:pPr/>
      <w:r>
        <w:rPr>
          <w:i w:val="0"/>
        </w:rPr>
        <w:t>Genesis 49 is not a series of sentimental deathbed wishes. Jacob summons his sons to declare what will befall their tribal descendants “in the last days,” combining character, historical consequence, geography and prophetic hope. The poem moves from forfeited natural privilege in Reuben, Simeon and Levi to royal primacy in Judah, then surveys the remaining tribes before reaching the exceptional blessing of Joseph.</w:t>
      </w:r>
    </w:p>
    <w:p>
      <w:pPr/>
      <w:r>
        <w:rPr>
          <w:i w:val="0"/>
        </w:rPr>
        <w:t>Mansfield’s exposition is strongest where it follows explicit biblical developments: Reuben loses pre-eminence; Simeon and Levi are scattered; Judah receives the royal line; Joseph’s suffering is answered by extraordinary blessing; and Jacob’s burial command fixes hope on Canaan. More elaborate hidden sentences built from all twelve name meanings, and detailed millennial geography, remain devotional interpretation rather than the grammatical meaning of the poem.</w:t>
      </w:r>
    </w:p>
    <w:p>
      <w:pPr>
        <w:pStyle w:val="Heading1"/>
      </w:pPr>
      <w:r>
        <w:t>“IN THE LAST DAYS” — GENESIS 49:1–2</w:t>
      </w:r>
    </w:p>
    <w:p>
      <w:pPr>
        <w:pStyle w:val="Heading2"/>
      </w:pPr>
      <w:r>
        <w:t>Genesis 49:1 — prophetic tribal scope</w:t>
      </w:r>
    </w:p>
    <w:p>
      <w:pPr/>
      <w:r>
        <w:rPr>
          <w:i w:val="0"/>
        </w:rPr>
        <w:t>Jacob calls his sons together to tell them what will happen “in the last days” or latter days. The Hebrew be’acharith hayyamim can denote a future/latter period whose extent is determined by context. Here the words plainly reach beyond the individual sons into the history and destiny of the tribes. They need not be restricted either to the first century or exclusively to the final generation before Messiah’s kingdom.</w:t>
      </w:r>
    </w:p>
    <w:p>
      <w:pPr>
        <w:pStyle w:val="Heading2"/>
      </w:pPr>
      <w:r>
        <w:t>Genesis 49:2 — sons of Jacob hear Israel</w:t>
      </w:r>
    </w:p>
    <w:p>
      <w:pPr/>
      <w:r>
        <w:rPr>
          <w:i w:val="0"/>
        </w:rPr>
        <w:t>“Gather yourselves together, and hear, ye sons of Jacob; and hearken unto Israel your father.” Both names are significant at the literary level: the natural sons of Jacob receive the inspired assessment of the man whom God named Israel. Mansfield’s sentence constructed from all twelve name meanings is ingenious but depends on disputed etymologies and is not presented as an inspired second translation of the list.</w:t>
      </w:r>
    </w:p>
    <w:p>
      <w:pPr>
        <w:pStyle w:val="Heading1"/>
      </w:pPr>
      <w:r>
        <w:t>REUBEN — GENESIS 49:3–4</w:t>
      </w:r>
    </w:p>
    <w:p>
      <w:pPr>
        <w:pStyle w:val="Heading2"/>
      </w:pPr>
      <w:r>
        <w:t>Genesis 49:3 — natural firstborn privilege</w:t>
      </w:r>
    </w:p>
    <w:p>
      <w:pPr/>
      <w:r>
        <w:rPr>
          <w:i w:val="0"/>
        </w:rPr>
        <w:t>Reuben is Jacob’s firstborn, the beginning of his strength, and naturally entitled to pre-eminence. Later Scripture explains how those privileges were distributed after his failure: the birthright went to Joseph’s sons, while Judah became dominant in rulership (1 Chronicles 5:1–2). Mansfield also assigns the family priesthood specifically to Levi; that is a useful historical development, though Genesis 49:3 itself lists dignity and power without formally dividing three legal offices.</w:t>
      </w:r>
    </w:p>
    <w:p>
      <w:pPr>
        <w:pStyle w:val="Heading2"/>
      </w:pPr>
      <w:r>
        <w:t>Genesis 49:4 — pachaz: reckless instability</w:t>
      </w:r>
    </w:p>
    <w:p>
      <w:pPr/>
      <w:r>
        <w:rPr>
          <w:i w:val="0"/>
        </w:rPr>
        <w:t>“Unstable as water, thou shalt not excel.” Pachaz conveys recklessness, wantonness or uncontrolled instability; older lexicons compare bubbling/boiling over. The picture suits Reuben’s impulsive violation of Bilhah (Genesis 35:22). “Thou shalt not excel” is naturally “you shall not have pre-eminence.” First Chronicles 5:1 explicitly links the loss of birthright to this act.</w:t>
      </w:r>
    </w:p>
    <w:p>
      <w:pPr>
        <w:pStyle w:val="Heading1"/>
      </w:pPr>
      <w:r>
        <w:t>SIMEON AND LEVI — GENESIS 49:5–7</w:t>
      </w:r>
    </w:p>
    <w:p>
      <w:pPr>
        <w:pStyle w:val="Heading2"/>
      </w:pPr>
      <w:r>
        <w:t>Genesis 49:5–6 — violence at Shechem remembered</w:t>
      </w:r>
    </w:p>
    <w:p>
      <w:pPr/>
      <w:r>
        <w:rPr>
          <w:i w:val="0"/>
        </w:rPr>
        <w:t>Simeon and Levi are united as brothers in violent action. The difficult noun behind the KJV “habitations” is better represented by ancient/modern versions as weapons or implements; the RV gives “weapons of violence are their swords.” Jacob refuses their council and assembly, directly recalling the planned massacre at Shechem in Genesis 34.</w:t>
      </w:r>
    </w:p>
    <w:p>
      <w:pPr/>
      <w:r>
        <w:rPr>
          <w:i w:val="0"/>
        </w:rPr>
        <w:t>The last clause of verse 6 has an ancient vocalisation/reading issue. The Masoretic reading is commonly understood “they hamstrung oxen”; the KJV “digged down a wall” reflects the close consonantal relationship between shor, ox, and shur, wall. The ox reading is now generally preferred. It should not be converted into a prediction of Christ merely because sacrificial bulls can be typological elsewhere.</w:t>
      </w:r>
    </w:p>
    <w:p>
      <w:pPr>
        <w:pStyle w:val="Heading2"/>
      </w:pPr>
      <w:r>
        <w:t>Genesis 49:7 — divided and scattered</w:t>
      </w:r>
    </w:p>
    <w:p>
      <w:pPr/>
      <w:r>
        <w:rPr>
          <w:i w:val="0"/>
        </w:rPr>
        <w:t>Jacob curses their fierce anger and cruel wrath, not the existence of the tribes themselves: “I will divide them in Jacob, and scatter them in Israel.” Simeon’s inheritance later lies within Judah (Joshua 19:1,9), contributing to territorial absorption; Levi receives no single tribal territory but cities throughout Israel (Joshua 21). Levi’s later faithfulness can turn dispersion into useful ministry, but does not erase the original judgment on the violence.</w:t>
      </w:r>
    </w:p>
    <w:p>
      <w:pPr>
        <w:pStyle w:val="Heading1"/>
      </w:pPr>
      <w:r>
        <w:t>JUDAH — THE ROYAL PROMISE — GENESIS 49:8–12</w:t>
      </w:r>
    </w:p>
    <w:p>
      <w:pPr>
        <w:pStyle w:val="Heading2"/>
      </w:pPr>
      <w:r>
        <w:t>Genesis 49:8–9 — praise, enemies and the lion</w:t>
      </w:r>
    </w:p>
    <w:p>
      <w:pPr/>
      <w:r>
        <w:rPr>
          <w:i w:val="0"/>
        </w:rPr>
        <w:t>Judah’s name is associated with praise in Genesis 29:35, and Jacob now says his brothers will praise him. His hand will be upon the neck of enemies and his father’s children will bow before him. First Chronicles 5:2 explicitly says Judah prevailed among his brothers and the chief ruler came from him. The lion imagery that follows becomes royal imagery fulfilled especially in David’s house and ultimately in “the Lion of the tribe of Judah” (Revelation 5:5).</w:t>
      </w:r>
    </w:p>
    <w:p>
      <w:pPr>
        <w:pStyle w:val="Heading2"/>
      </w:pPr>
      <w:r>
        <w:t>Genesis 49:10 — sceptre, ruler’s staff and Shiloh</w:t>
      </w:r>
    </w:p>
    <w:p>
      <w:pPr/>
      <w:r>
        <w:rPr>
          <w:i w:val="0"/>
        </w:rPr>
        <w:t>“The sceptre shall not depart from Judah, nor a lawgiver/ruler’s staff from between his feet, until Shiloh come; and unto him shall the gathering/obedience of the peoples be.” The royal force is clear: enduring rulership is attached to Judah and culminates in a figure to whom peoples render obedience. Psalm 60:7 calls Judah God’s lawgiver/ruler’s staff, and the Davidic-Messianic line develops the promise.</w:t>
      </w:r>
    </w:p>
    <w:p>
      <w:pPr/>
      <w:r>
        <w:rPr>
          <w:i w:val="0"/>
        </w:rPr>
        <w:t>The exact form Shiloh is one of the most disputed words in Genesis. Mansfield derives it from peace/rest and understands “Bringer/Giver of Peace.” That produces an attractive Messianic title, especially beside Isaiah 9:6–7, but it is not the only serious explanation. Other readings understand the phrase as “until he comes to whom it belongs / whose right it is,” often compared with Ezekiel 21:27. The Messianic and royal interpretation is therefore stronger than any single claimed etymology.</w:t>
      </w:r>
    </w:p>
    <w:p>
      <w:pPr/>
      <w:r>
        <w:rPr>
          <w:i w:val="0"/>
        </w:rPr>
        <w:t>Likewise, the final clause can be rendered “unto him shall the gathering of the peoples be” or “to him shall be the obedience of the peoples.” Both express international submission to Judah’s ruler; neither requires a narrow tribal application.</w:t>
      </w:r>
    </w:p>
    <w:p>
      <w:pPr>
        <w:pStyle w:val="Heading2"/>
      </w:pPr>
      <w:r>
        <w:t>Genesis 49:11–12 — extraordinary abundance</w:t>
      </w:r>
    </w:p>
    <w:p>
      <w:pPr/>
      <w:r>
        <w:rPr>
          <w:i w:val="0"/>
        </w:rPr>
        <w:t>The foal bound to the vine, garments washed in wine, dark/sparkling eyes from wine and white teeth from milk picture extravagant fertility and prosperity: vines are so abundant they can be used casually as tethering posts, and wine/milk overflow. Zechariah 9:9 and the Gospel entry into Jerusalem make the royal ass imagery naturally Messianic, but Mansfield’s detailed identification of every vine, garment and colour with separate ecclesial symbols goes beyond Jacob’s immediate poetic picture.</w:t>
      </w:r>
    </w:p>
    <w:p>
      <w:pPr>
        <w:pStyle w:val="Heading1"/>
      </w:pPr>
      <w:r>
        <w:t>ZEBULUN AND ISSACHAR — GENESIS 49:13–15</w:t>
      </w:r>
    </w:p>
    <w:p>
      <w:pPr>
        <w:pStyle w:val="Heading2"/>
      </w:pPr>
      <w:r>
        <w:t>Genesis 49:13 — Zebulun toward the sea</w:t>
      </w:r>
    </w:p>
    <w:p>
      <w:pPr/>
      <w:r>
        <w:rPr>
          <w:i w:val="0"/>
        </w:rPr>
        <w:t>Zebulun is associated with maritime commerce: a haven/coast for ships, with his flank “toward Sidon.” The historical allotment did not clearly reach the Mediterranean coast, but the Hebrew can express orientation toward Sidon rather than direct possession of Sidon itself. Mansfield’s appeal to a future Ezekiel 48 shoreline reallocation is possible typology, not required to rescue an alleged contradiction.</w:t>
      </w:r>
    </w:p>
    <w:p>
      <w:pPr>
        <w:pStyle w:val="Heading2"/>
      </w:pPr>
      <w:r>
        <w:t>Genesis 49:14–15 — the strong-boned donkey</w:t>
      </w:r>
    </w:p>
    <w:p>
      <w:pPr/>
      <w:r>
        <w:rPr>
          <w:i w:val="0"/>
        </w:rPr>
        <w:t>Issachar is chamor garem, literally something like a strong-boned/bony donkey, resting between mishpetayim. That final word is difficult; “sheepfolds” is widely preferred to KJV “two burdens.” The image is of powerful labour joined to appreciation of good land and rest: Issachar bends the shoulder to burden/service. It need not be turned into an allegory of “sin’s flesh” merely because another Hebrew word for donkey can be associated with reddish colour.</w:t>
      </w:r>
    </w:p>
    <w:p>
      <w:pPr>
        <w:pStyle w:val="Heading1"/>
      </w:pPr>
      <w:r>
        <w:t>DAN, GAD, ASHER AND NAPHTALI — GENESIS 49:16–21</w:t>
      </w:r>
    </w:p>
    <w:p>
      <w:pPr>
        <w:pStyle w:val="Heading2"/>
      </w:pPr>
      <w:r>
        <w:t>Genesis 49:16–18 — Dan and Jacob’s salvation confession</w:t>
      </w:r>
    </w:p>
    <w:p>
      <w:pPr/>
      <w:r>
        <w:rPr>
          <w:i w:val="0"/>
        </w:rPr>
        <w:t>Dan will “judge” his people, directly echoing the name-wordplay established at his birth. He is then compared with a serpent beside the road, a shephiphon in the path, striking the horse’s heels. The exact snake species is uncertain; the point is sudden, strategically placed attack that can bring down a stronger rider.</w:t>
      </w:r>
    </w:p>
    <w:p>
      <w:pPr/>
      <w:r>
        <w:rPr>
          <w:i w:val="0"/>
        </w:rPr>
        <w:t>Jacob abruptly exclaims, “I have waited for thy salvation, O Yahweh.” Yeshu‘ah is salvation/deliverance. Whatever prompted the interruption at this precise point, it is a personal confession that Jacob’s hope amid tribal conflict rests in Yahweh’s saving action rather than human strength.</w:t>
      </w:r>
    </w:p>
    <w:p>
      <w:pPr>
        <w:pStyle w:val="Heading2"/>
      </w:pPr>
      <w:r>
        <w:t>Genesis 49:19 — Gad’s dense wordplay</w:t>
      </w:r>
    </w:p>
    <w:p>
      <w:pPr/>
      <w:r>
        <w:rPr>
          <w:i w:val="0"/>
        </w:rPr>
        <w:t>Gad’s line deliberately plays on closely related sounds: a gedud, raiding troop, will raid him, but he will raid/press upon the heel in return. The KJV captures the sense with “A troop shall overcome him: but he shall overcome at the last.” The verse suits a frontier tribe repeatedly exposed to warfare east of Jordan.</w:t>
      </w:r>
    </w:p>
    <w:p>
      <w:pPr>
        <w:pStyle w:val="Heading2"/>
      </w:pPr>
      <w:r>
        <w:t>Genesis 49:20 — Asher’s abundance</w:t>
      </w:r>
    </w:p>
    <w:p>
      <w:pPr/>
      <w:r>
        <w:rPr>
          <w:i w:val="0"/>
        </w:rPr>
        <w:t>Asher will have rich/fat food and provide “royal dainties.” The blessing naturally fits fertile agricultural territory. It also anticipates monarchy in broad terms, but need not be limited to a future temple tribute system.</w:t>
      </w:r>
    </w:p>
    <w:p>
      <w:pPr>
        <w:pStyle w:val="Heading2"/>
      </w:pPr>
      <w:r>
        <w:t>Genesis 49:21 — Naphtali: a difficult poetic line</w:t>
      </w:r>
    </w:p>
    <w:p>
      <w:pPr/>
      <w:r>
        <w:rPr>
          <w:i w:val="0"/>
        </w:rPr>
        <w:t>The Masoretic Text reads naturally, “Naphtali is a hind/doe let loose; he gives beautiful words.” The graceful, free-moving deer and attractive speech form a coherent image. Ancient versions preserve variant readings, including a tree/branch tradition, and Mansfield canvasses both. Because the Hebrew poetry is difficult, no single expanded allegory should be treated as certain; the MT “hind let loose ... goodly words” remains the primary KJV-based reading.</w:t>
      </w:r>
    </w:p>
    <w:p>
      <w:pPr>
        <w:pStyle w:val="Heading1"/>
      </w:pPr>
      <w:r>
        <w:t>JOSEPH — FRUITFUL, ATTACKED, STRENGTHENED — GENESIS 49:22–26</w:t>
      </w:r>
    </w:p>
    <w:p>
      <w:pPr>
        <w:pStyle w:val="Heading2"/>
      </w:pPr>
      <w:r>
        <w:t>Genesis 49:22–23 — fruitfulness beside a spring; archers attack</w:t>
      </w:r>
    </w:p>
    <w:p>
      <w:pPr/>
      <w:r>
        <w:rPr>
          <w:i w:val="0"/>
        </w:rPr>
        <w:t>Joseph is ben porath, a fruitful son/bough, beside a spring, with branches/daughters extending over the wall. The imagery matches the name Ephraim and Joseph’s extraordinary increase. The next line recalls the hostility that marked his life: “the archers” — literally masters of arrows — bitterly attack, shoot at and hate him. His brothers and later persecutors fit the historical image without exhausting its righteous-sufferer typology.</w:t>
      </w:r>
    </w:p>
    <w:p>
      <w:pPr>
        <w:pStyle w:val="Heading2"/>
      </w:pPr>
      <w:r>
        <w:t>Genesis 49:24 — the Mighty One, Shepherd and Stone</w:t>
      </w:r>
    </w:p>
    <w:p>
      <w:pPr/>
      <w:r>
        <w:rPr>
          <w:i w:val="0"/>
        </w:rPr>
        <w:t>Joseph’s bow remains firm (ethan), and the arms of his hands are strengthened/made agile by “the Mighty One of Jacob” — Abir Ya‘aqob. The title points directly to Divine strength as the source of Joseph’s endurance. The verse then gives the remarkable language “from thence is the shepherd, the stone of Israel.” The exact syntax is compact and debated, but Shepherd and Stone become major biblical images of Divine/Messianic protection and foundation (Psalm 80:1; Psalm 118:22; Isaiah 28:16).</w:t>
      </w:r>
    </w:p>
    <w:p>
      <w:pPr/>
      <w:r>
        <w:rPr>
          <w:i w:val="0"/>
        </w:rPr>
        <w:t>Mansfield presses the phrase into a precise statement of Christ’s Divine begettal. The wider Messianic connection is legitimate, but the Hebrew syntax does not require one detailed doctrinal paraphrase. The secure point is that Joseph’s strength and Israel’s shepherding/foundation come from the Mighty One of Jacob.</w:t>
      </w:r>
    </w:p>
    <w:p>
      <w:pPr>
        <w:pStyle w:val="Heading2"/>
      </w:pPr>
      <w:r>
        <w:t>Genesis 49:25–26 — comprehensive blessing and the separated one</w:t>
      </w:r>
    </w:p>
    <w:p>
      <w:pPr/>
      <w:r>
        <w:rPr>
          <w:i w:val="0"/>
        </w:rPr>
        <w:t>Blessings come from the God of Jacob and Shaddai: heaven above, the deep beneath, breasts and womb — a comprehensive picture of environmental and family fruitfulness. Jacob says his blessings exceed the blessings of his ancestors and rest upon Joseph’s head.</w:t>
      </w:r>
    </w:p>
    <w:p>
      <w:pPr/>
      <w:r>
        <w:rPr>
          <w:i w:val="0"/>
        </w:rPr>
        <w:t>Joseph is called nezir echav, one separated/consecrated/distinguished among his brothers. Nazir vocabulary comes from the same root of separation/consecration, but Joseph is not thereby declared a formal Nazirite under the later Mosaic law. The phrase beautifully summarises the story: separated from his brothers in suffering, yet set apart for honour and blessing.</w:t>
      </w:r>
    </w:p>
    <w:p>
      <w:pPr>
        <w:pStyle w:val="Heading1"/>
      </w:pPr>
      <w:r>
        <w:t>BENJAMIN AND THE CONCLUSION — GENESIS 49:27–33</w:t>
      </w:r>
    </w:p>
    <w:p>
      <w:pPr>
        <w:pStyle w:val="Heading2"/>
      </w:pPr>
      <w:r>
        <w:t>Genesis 49:27 — Benjamin the wolf</w:t>
      </w:r>
    </w:p>
    <w:p>
      <w:pPr/>
      <w:r>
        <w:rPr>
          <w:i w:val="0"/>
        </w:rPr>
        <w:t>Benjamin is a ravening wolf, devouring prey in the morning and dividing spoil at evening. Later Benjaminite history contains striking warriors — Judges 20 and Saul’s tribe among them — though Jacob’s brief image should not be restricted to one individual example.</w:t>
      </w:r>
    </w:p>
    <w:p>
      <w:pPr>
        <w:pStyle w:val="Heading2"/>
      </w:pPr>
      <w:r>
        <w:t>Genesis 49:28 — “according to his blessing”</w:t>
      </w:r>
    </w:p>
    <w:p>
      <w:pPr/>
      <w:r>
        <w:rPr>
          <w:i w:val="0"/>
        </w:rPr>
        <w:t>The narrator identifies these as the twelve tribes of Israel and says Jacob blessed each “according to his blessing.” Blessing therefore does not mean identical promises of comfort. Reproof, limitation, warning and future responsibility can all form part of an inspired blessing because truth about character and destiny is itself covenant instruction.</w:t>
      </w:r>
    </w:p>
    <w:p>
      <w:pPr>
        <w:pStyle w:val="Heading2"/>
      </w:pPr>
      <w:r>
        <w:t>Genesis 49:29–32 — Machpelah again</w:t>
      </w:r>
    </w:p>
    <w:p>
      <w:pPr/>
      <w:r>
        <w:rPr>
          <w:i w:val="0"/>
        </w:rPr>
        <w:t>Jacob repeats his command to be buried in Machpelah, carefully naming Abraham and Sarah, Isaac and Rebekah, and Leah. Rachel is buried elsewhere near Bethlehem. The repeated purchase history of field and cave underlines that the one legally held parcel in Canaan becomes the chosen burial place of those awaiting fulfilment of the larger land promise.</w:t>
      </w:r>
    </w:p>
    <w:p>
      <w:pPr>
        <w:pStyle w:val="Heading2"/>
      </w:pPr>
      <w:r>
        <w:t>Genesis 49:33 — Jacob expires and is gathered to his people</w:t>
      </w:r>
    </w:p>
    <w:p>
      <w:pPr/>
      <w:r>
        <w:rPr>
          <w:i w:val="0"/>
        </w:rPr>
        <w:t>Jacob gathers his feet into the bed, “yielded up the ghost,” and is gathered to his people. The underlying death verb gava‘ means expire/breathe one’s last; the old KJV phrase does not teach that an immortal ghost leaves for heaven. “Gathered unto his people” is likewise patriarchal death-language, while Genesis 50 still has Jacob’s body in Egypt awaiting burial in Canaan.</w:t>
      </w:r>
    </w:p>
    <w:p>
      <w:pPr>
        <w:pStyle w:val="Heading1"/>
      </w:pPr>
      <w:r>
        <w:t>PRINCIPAL THEMES</w:t>
      </w:r>
    </w:p>
    <w:p>
      <w:pPr>
        <w:ind w:left="259" w:hanging="202"/>
      </w:pPr>
      <w:r>
        <w:rPr>
          <w:b/>
        </w:rPr>
        <w:t xml:space="preserve">• </w:t>
      </w:r>
      <w:r>
        <w:t>Jacob’s final poem is prophetic and tribal, extending beyond the immediate sons into later history.</w:t>
      </w:r>
    </w:p>
    <w:p>
      <w:pPr>
        <w:ind w:left="259" w:hanging="202"/>
      </w:pPr>
      <w:r>
        <w:rPr>
          <w:b/>
        </w:rPr>
        <w:t xml:space="preserve">• </w:t>
      </w:r>
      <w:r>
        <w:t>Character has enduring consequences: Reuben, Simeon and Levi forfeit natural privileges through serious sin.</w:t>
      </w:r>
    </w:p>
    <w:p>
      <w:pPr>
        <w:ind w:left="259" w:hanging="202"/>
      </w:pPr>
      <w:r>
        <w:rPr>
          <w:b/>
        </w:rPr>
        <w:t xml:space="preserve">• </w:t>
      </w:r>
      <w:r>
        <w:t>Judah receives royal primacy, culminating in a ruler to whom the peoples render obedience.</w:t>
      </w:r>
    </w:p>
    <w:p>
      <w:pPr>
        <w:ind w:left="259" w:hanging="202"/>
      </w:pPr>
      <w:r>
        <w:rPr>
          <w:b/>
        </w:rPr>
        <w:t xml:space="preserve">• </w:t>
      </w:r>
      <w:r>
        <w:t>Shiloh is strongly Messianic in context, but its exact etymology should remain open.</w:t>
      </w:r>
    </w:p>
    <w:p>
      <w:pPr>
        <w:ind w:left="259" w:hanging="202"/>
      </w:pPr>
      <w:r>
        <w:rPr>
          <w:b/>
        </w:rPr>
        <w:t xml:space="preserve">• </w:t>
      </w:r>
      <w:r>
        <w:t>Jacob’s hope interrupts the tribal survey with “I have waited for thy salvation, O Yahweh.”</w:t>
      </w:r>
    </w:p>
    <w:p>
      <w:pPr>
        <w:ind w:left="259" w:hanging="202"/>
      </w:pPr>
      <w:r>
        <w:rPr>
          <w:b/>
        </w:rPr>
        <w:t xml:space="preserve">• </w:t>
      </w:r>
      <w:r>
        <w:t>Joseph’s blessing interprets perseverance as strength supplied by the Mighty One of Jacob.</w:t>
      </w:r>
    </w:p>
    <w:p>
      <w:pPr>
        <w:ind w:left="259" w:hanging="202"/>
      </w:pPr>
      <w:r>
        <w:rPr>
          <w:b/>
        </w:rPr>
        <w:t xml:space="preserve">• </w:t>
      </w:r>
      <w:r>
        <w:t>Shepherd, Stone and separated/consecrated one become major themes in Joseph’s climactic blessing.</w:t>
      </w:r>
    </w:p>
    <w:p>
      <w:pPr>
        <w:ind w:left="259" w:hanging="202"/>
      </w:pPr>
      <w:r>
        <w:rPr>
          <w:b/>
        </w:rPr>
        <w:t xml:space="preserve">• </w:t>
      </w:r>
      <w:r>
        <w:t>Machpelah keeps the promised land central as Jacob dies in Egypt.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Gen. 49:1</w:t>
            </w:r>
          </w:p>
        </w:tc>
        <w:tc>
          <w:tcPr>
            <w:tcW w:type="dxa" w:w="3561"/>
            <w:vAlign w:val="top"/>
          </w:tcPr>
          <w:p>
            <w:pPr>
              <w:spacing w:after="0"/>
            </w:pPr>
            <w:r>
              <w:rPr>
                <w:rFonts w:ascii="Times New Roman" w:hAnsi="Times New Roman"/>
                <w:sz w:val="14"/>
              </w:rPr>
              <w:t>be’acharith hayyamim</w:t>
            </w:r>
          </w:p>
        </w:tc>
        <w:tc>
          <w:tcPr>
            <w:tcW w:type="dxa" w:w="3561"/>
            <w:vAlign w:val="top"/>
          </w:tcPr>
          <w:p>
            <w:pPr>
              <w:spacing w:after="0"/>
            </w:pPr>
            <w:r>
              <w:rPr>
                <w:rFonts w:ascii="Times New Roman" w:hAnsi="Times New Roman"/>
                <w:sz w:val="14"/>
              </w:rPr>
              <w:t>Latter/last days; future scope determined by context, not one forced chronological scheme.</w:t>
            </w:r>
          </w:p>
        </w:tc>
      </w:tr>
      <w:tr>
        <w:tc>
          <w:tcPr>
            <w:tcW w:type="dxa" w:w="3561"/>
            <w:vAlign w:val="top"/>
          </w:tcPr>
          <w:p>
            <w:pPr>
              <w:spacing w:after="0"/>
            </w:pPr>
            <w:r>
              <w:rPr>
                <w:rFonts w:ascii="Times New Roman" w:hAnsi="Times New Roman"/>
                <w:sz w:val="14"/>
              </w:rPr>
              <w:t>Gen. 49:4</w:t>
            </w:r>
          </w:p>
        </w:tc>
        <w:tc>
          <w:tcPr>
            <w:tcW w:type="dxa" w:w="3561"/>
            <w:vAlign w:val="top"/>
          </w:tcPr>
          <w:p>
            <w:pPr>
              <w:spacing w:after="0"/>
            </w:pPr>
            <w:r>
              <w:rPr>
                <w:rFonts w:ascii="Times New Roman" w:hAnsi="Times New Roman"/>
                <w:sz w:val="14"/>
              </w:rPr>
              <w:t>pachaz</w:t>
            </w:r>
          </w:p>
        </w:tc>
        <w:tc>
          <w:tcPr>
            <w:tcW w:type="dxa" w:w="3561"/>
            <w:vAlign w:val="top"/>
          </w:tcPr>
          <w:p>
            <w:pPr>
              <w:spacing w:after="0"/>
            </w:pPr>
            <w:r>
              <w:rPr>
                <w:rFonts w:ascii="Times New Roman" w:hAnsi="Times New Roman"/>
                <w:sz w:val="14"/>
              </w:rPr>
              <w:t>Reckless/unstable/wanton; bubbling-over image possible but not the only lexical gloss.</w:t>
            </w:r>
          </w:p>
        </w:tc>
      </w:tr>
      <w:tr>
        <w:tc>
          <w:tcPr>
            <w:tcW w:type="dxa" w:w="3561"/>
            <w:vAlign w:val="top"/>
          </w:tcPr>
          <w:p>
            <w:pPr>
              <w:spacing w:after="0"/>
            </w:pPr>
            <w:r>
              <w:rPr>
                <w:rFonts w:ascii="Times New Roman" w:hAnsi="Times New Roman"/>
                <w:sz w:val="14"/>
              </w:rPr>
              <w:t>Gen. 49:3–4</w:t>
            </w:r>
          </w:p>
        </w:tc>
        <w:tc>
          <w:tcPr>
            <w:tcW w:type="dxa" w:w="3561"/>
            <w:vAlign w:val="top"/>
          </w:tcPr>
          <w:p>
            <w:pPr>
              <w:spacing w:after="0"/>
            </w:pPr>
            <w:r>
              <w:rPr>
                <w:rFonts w:ascii="Times New Roman" w:hAnsi="Times New Roman"/>
                <w:sz w:val="14"/>
              </w:rPr>
              <w:t>1 Chr. 5:1–2</w:t>
            </w:r>
          </w:p>
        </w:tc>
        <w:tc>
          <w:tcPr>
            <w:tcW w:type="dxa" w:w="3561"/>
            <w:vAlign w:val="top"/>
          </w:tcPr>
          <w:p>
            <w:pPr>
              <w:spacing w:after="0"/>
            </w:pPr>
            <w:r>
              <w:rPr>
                <w:rFonts w:ascii="Times New Roman" w:hAnsi="Times New Roman"/>
                <w:sz w:val="14"/>
              </w:rPr>
              <w:t>Birthright to Joseph’s sons; chief ruler from Judah explicitly confirmed later.</w:t>
            </w:r>
          </w:p>
        </w:tc>
      </w:tr>
      <w:tr>
        <w:tc>
          <w:tcPr>
            <w:tcW w:type="dxa" w:w="3561"/>
            <w:vAlign w:val="top"/>
          </w:tcPr>
          <w:p>
            <w:pPr>
              <w:spacing w:after="0"/>
            </w:pPr>
            <w:r>
              <w:rPr>
                <w:rFonts w:ascii="Times New Roman" w:hAnsi="Times New Roman"/>
                <w:sz w:val="14"/>
              </w:rPr>
              <w:t>Gen. 49:5</w:t>
            </w:r>
          </w:p>
        </w:tc>
        <w:tc>
          <w:tcPr>
            <w:tcW w:type="dxa" w:w="3561"/>
            <w:vAlign w:val="top"/>
          </w:tcPr>
          <w:p>
            <w:pPr>
              <w:spacing w:after="0"/>
            </w:pPr>
            <w:r>
              <w:rPr>
                <w:rFonts w:ascii="Times New Roman" w:hAnsi="Times New Roman"/>
                <w:sz w:val="14"/>
              </w:rPr>
              <w:t>weapons / habitations</w:t>
            </w:r>
          </w:p>
        </w:tc>
        <w:tc>
          <w:tcPr>
            <w:tcW w:type="dxa" w:w="3561"/>
            <w:vAlign w:val="top"/>
          </w:tcPr>
          <w:p>
            <w:pPr>
              <w:spacing w:after="0"/>
            </w:pPr>
            <w:r>
              <w:rPr>
                <w:rFonts w:ascii="Times New Roman" w:hAnsi="Times New Roman"/>
                <w:sz w:val="14"/>
              </w:rPr>
              <w:t>Difficult noun; “weapons of violence” better supported than literal dwellings.</w:t>
            </w:r>
          </w:p>
        </w:tc>
      </w:tr>
      <w:tr>
        <w:tc>
          <w:tcPr>
            <w:tcW w:type="dxa" w:w="3561"/>
            <w:vAlign w:val="top"/>
          </w:tcPr>
          <w:p>
            <w:pPr>
              <w:spacing w:after="0"/>
            </w:pPr>
            <w:r>
              <w:rPr>
                <w:rFonts w:ascii="Times New Roman" w:hAnsi="Times New Roman"/>
                <w:sz w:val="14"/>
              </w:rPr>
              <w:t>Gen. 49:6</w:t>
            </w:r>
          </w:p>
        </w:tc>
        <w:tc>
          <w:tcPr>
            <w:tcW w:type="dxa" w:w="3561"/>
            <w:vAlign w:val="top"/>
          </w:tcPr>
          <w:p>
            <w:pPr>
              <w:spacing w:after="0"/>
            </w:pPr>
            <w:r>
              <w:rPr>
                <w:rFonts w:ascii="Times New Roman" w:hAnsi="Times New Roman"/>
                <w:sz w:val="14"/>
              </w:rPr>
              <w:t>ox / wall</w:t>
            </w:r>
          </w:p>
        </w:tc>
        <w:tc>
          <w:tcPr>
            <w:tcW w:type="dxa" w:w="3561"/>
            <w:vAlign w:val="top"/>
          </w:tcPr>
          <w:p>
            <w:pPr>
              <w:spacing w:after="0"/>
            </w:pPr>
            <w:r>
              <w:rPr>
                <w:rFonts w:ascii="Times New Roman" w:hAnsi="Times New Roman"/>
                <w:sz w:val="14"/>
              </w:rPr>
              <w:t>MT commonly “hamstrung oxen”; KJV wall reflects close consonantal alternative.</w:t>
            </w:r>
          </w:p>
        </w:tc>
      </w:tr>
      <w:tr>
        <w:tc>
          <w:tcPr>
            <w:tcW w:type="dxa" w:w="3561"/>
            <w:vAlign w:val="top"/>
          </w:tcPr>
          <w:p>
            <w:pPr>
              <w:spacing w:after="0"/>
            </w:pPr>
            <w:r>
              <w:rPr>
                <w:rFonts w:ascii="Times New Roman" w:hAnsi="Times New Roman"/>
                <w:sz w:val="14"/>
              </w:rPr>
              <w:t>Gen. 49:7</w:t>
            </w:r>
          </w:p>
        </w:tc>
        <w:tc>
          <w:tcPr>
            <w:tcW w:type="dxa" w:w="3561"/>
            <w:vAlign w:val="top"/>
          </w:tcPr>
          <w:p>
            <w:pPr>
              <w:spacing w:after="0"/>
            </w:pPr>
            <w:r>
              <w:rPr>
                <w:rFonts w:ascii="Times New Roman" w:hAnsi="Times New Roman"/>
                <w:sz w:val="14"/>
              </w:rPr>
              <w:t>Josh. 19:1,9; 21</w:t>
            </w:r>
          </w:p>
        </w:tc>
        <w:tc>
          <w:tcPr>
            <w:tcW w:type="dxa" w:w="3561"/>
            <w:vAlign w:val="top"/>
          </w:tcPr>
          <w:p>
            <w:pPr>
              <w:spacing w:after="0"/>
            </w:pPr>
            <w:r>
              <w:rPr>
                <w:rFonts w:ascii="Times New Roman" w:hAnsi="Times New Roman"/>
                <w:sz w:val="14"/>
              </w:rPr>
              <w:t>Simeon dispersed within Judah; Levi scattered in cities.</w:t>
            </w:r>
          </w:p>
        </w:tc>
      </w:tr>
      <w:tr>
        <w:tc>
          <w:tcPr>
            <w:tcW w:type="dxa" w:w="3561"/>
            <w:vAlign w:val="top"/>
          </w:tcPr>
          <w:p>
            <w:pPr>
              <w:spacing w:after="0"/>
            </w:pPr>
            <w:r>
              <w:rPr>
                <w:rFonts w:ascii="Times New Roman" w:hAnsi="Times New Roman"/>
                <w:sz w:val="14"/>
              </w:rPr>
              <w:t>Gen. 49:8–10</w:t>
            </w:r>
          </w:p>
        </w:tc>
        <w:tc>
          <w:tcPr>
            <w:tcW w:type="dxa" w:w="3561"/>
            <w:vAlign w:val="top"/>
          </w:tcPr>
          <w:p>
            <w:pPr>
              <w:spacing w:after="0"/>
            </w:pPr>
            <w:r>
              <w:rPr>
                <w:rFonts w:ascii="Times New Roman" w:hAnsi="Times New Roman"/>
                <w:sz w:val="14"/>
              </w:rPr>
              <w:t>1 Chr. 5:2; Rev. 5:5</w:t>
            </w:r>
          </w:p>
        </w:tc>
        <w:tc>
          <w:tcPr>
            <w:tcW w:type="dxa" w:w="3561"/>
            <w:vAlign w:val="top"/>
          </w:tcPr>
          <w:p>
            <w:pPr>
              <w:spacing w:after="0"/>
            </w:pPr>
            <w:r>
              <w:rPr>
                <w:rFonts w:ascii="Times New Roman" w:hAnsi="Times New Roman"/>
                <w:sz w:val="14"/>
              </w:rPr>
              <w:t>Judah’s royal primacy and Lion imagery securely developed in later Scripture.</w:t>
            </w:r>
          </w:p>
        </w:tc>
      </w:tr>
      <w:tr>
        <w:tc>
          <w:tcPr>
            <w:tcW w:type="dxa" w:w="3561"/>
            <w:vAlign w:val="top"/>
          </w:tcPr>
          <w:p>
            <w:pPr>
              <w:spacing w:after="0"/>
            </w:pPr>
            <w:r>
              <w:rPr>
                <w:rFonts w:ascii="Times New Roman" w:hAnsi="Times New Roman"/>
                <w:sz w:val="14"/>
              </w:rPr>
              <w:t>Gen. 49:10</w:t>
            </w:r>
          </w:p>
        </w:tc>
        <w:tc>
          <w:tcPr>
            <w:tcW w:type="dxa" w:w="3561"/>
            <w:vAlign w:val="top"/>
          </w:tcPr>
          <w:p>
            <w:pPr>
              <w:spacing w:after="0"/>
            </w:pPr>
            <w:r>
              <w:rPr>
                <w:rFonts w:ascii="Times New Roman" w:hAnsi="Times New Roman"/>
                <w:sz w:val="14"/>
              </w:rPr>
              <w:t>Shiloh</w:t>
            </w:r>
          </w:p>
        </w:tc>
        <w:tc>
          <w:tcPr>
            <w:tcW w:type="dxa" w:w="3561"/>
            <w:vAlign w:val="top"/>
          </w:tcPr>
          <w:p>
            <w:pPr>
              <w:spacing w:after="0"/>
            </w:pPr>
            <w:r>
              <w:rPr>
                <w:rFonts w:ascii="Times New Roman" w:hAnsi="Times New Roman"/>
                <w:sz w:val="14"/>
              </w:rPr>
              <w:t>Exact derivation disputed: peace/rest title is possible, “whose right it is” tradition also serious.</w:t>
            </w:r>
          </w:p>
        </w:tc>
      </w:tr>
      <w:tr>
        <w:tc>
          <w:tcPr>
            <w:tcW w:type="dxa" w:w="3561"/>
            <w:vAlign w:val="top"/>
          </w:tcPr>
          <w:p>
            <w:pPr>
              <w:spacing w:after="0"/>
            </w:pPr>
            <w:r>
              <w:rPr>
                <w:rFonts w:ascii="Times New Roman" w:hAnsi="Times New Roman"/>
                <w:sz w:val="14"/>
              </w:rPr>
              <w:t>Gen. 49:10</w:t>
            </w:r>
          </w:p>
        </w:tc>
        <w:tc>
          <w:tcPr>
            <w:tcW w:type="dxa" w:w="3561"/>
            <w:vAlign w:val="top"/>
          </w:tcPr>
          <w:p>
            <w:pPr>
              <w:spacing w:after="0"/>
            </w:pPr>
            <w:r>
              <w:rPr>
                <w:rFonts w:ascii="Times New Roman" w:hAnsi="Times New Roman"/>
                <w:sz w:val="14"/>
              </w:rPr>
              <w:t>gathering / obedience of peoples</w:t>
            </w:r>
          </w:p>
        </w:tc>
        <w:tc>
          <w:tcPr>
            <w:tcW w:type="dxa" w:w="3561"/>
            <w:vAlign w:val="top"/>
          </w:tcPr>
          <w:p>
            <w:pPr>
              <w:spacing w:after="0"/>
            </w:pPr>
            <w:r>
              <w:rPr>
                <w:rFonts w:ascii="Times New Roman" w:hAnsi="Times New Roman"/>
                <w:sz w:val="14"/>
              </w:rPr>
              <w:t>Both renderings express international submission to Judah’s ruler.</w:t>
            </w:r>
          </w:p>
        </w:tc>
      </w:tr>
      <w:tr>
        <w:tc>
          <w:tcPr>
            <w:tcW w:type="dxa" w:w="3561"/>
            <w:vAlign w:val="top"/>
          </w:tcPr>
          <w:p>
            <w:pPr>
              <w:spacing w:after="0"/>
            </w:pPr>
            <w:r>
              <w:rPr>
                <w:rFonts w:ascii="Times New Roman" w:hAnsi="Times New Roman"/>
                <w:sz w:val="14"/>
              </w:rPr>
              <w:t>Gen. 49:11–12</w:t>
            </w:r>
          </w:p>
        </w:tc>
        <w:tc>
          <w:tcPr>
            <w:tcW w:type="dxa" w:w="3561"/>
            <w:vAlign w:val="top"/>
          </w:tcPr>
          <w:p>
            <w:pPr>
              <w:spacing w:after="0"/>
            </w:pPr>
            <w:r>
              <w:rPr>
                <w:rFonts w:ascii="Times New Roman" w:hAnsi="Times New Roman"/>
                <w:sz w:val="14"/>
              </w:rPr>
              <w:t>abundance first</w:t>
            </w:r>
          </w:p>
        </w:tc>
        <w:tc>
          <w:tcPr>
            <w:tcW w:type="dxa" w:w="3561"/>
            <w:vAlign w:val="top"/>
          </w:tcPr>
          <w:p>
            <w:pPr>
              <w:spacing w:after="0"/>
            </w:pPr>
            <w:r>
              <w:rPr>
                <w:rFonts w:ascii="Times New Roman" w:hAnsi="Times New Roman"/>
                <w:sz w:val="14"/>
              </w:rPr>
              <w:t>Vine/wine/milk imagery primarily extraordinary prosperity; detailed symbols kept typological.</w:t>
            </w:r>
          </w:p>
        </w:tc>
      </w:tr>
      <w:tr>
        <w:tc>
          <w:tcPr>
            <w:tcW w:type="dxa" w:w="3561"/>
            <w:vAlign w:val="top"/>
          </w:tcPr>
          <w:p>
            <w:pPr>
              <w:spacing w:after="0"/>
            </w:pPr>
            <w:r>
              <w:rPr>
                <w:rFonts w:ascii="Times New Roman" w:hAnsi="Times New Roman"/>
                <w:sz w:val="14"/>
              </w:rPr>
              <w:t>Gen. 49:13</w:t>
            </w:r>
          </w:p>
        </w:tc>
        <w:tc>
          <w:tcPr>
            <w:tcW w:type="dxa" w:w="3561"/>
            <w:vAlign w:val="top"/>
          </w:tcPr>
          <w:p>
            <w:pPr>
              <w:spacing w:after="0"/>
            </w:pPr>
            <w:r>
              <w:rPr>
                <w:rFonts w:ascii="Times New Roman" w:hAnsi="Times New Roman"/>
                <w:sz w:val="14"/>
              </w:rPr>
              <w:t>toward Sidon</w:t>
            </w:r>
          </w:p>
        </w:tc>
        <w:tc>
          <w:tcPr>
            <w:tcW w:type="dxa" w:w="3561"/>
            <w:vAlign w:val="top"/>
          </w:tcPr>
          <w:p>
            <w:pPr>
              <w:spacing w:after="0"/>
            </w:pPr>
            <w:r>
              <w:rPr>
                <w:rFonts w:ascii="Times New Roman" w:hAnsi="Times New Roman"/>
                <w:sz w:val="14"/>
              </w:rPr>
              <w:t>Orientation does not require Zebulun to possess Sidon itself.</w:t>
            </w:r>
          </w:p>
        </w:tc>
      </w:tr>
      <w:tr>
        <w:tc>
          <w:tcPr>
            <w:tcW w:type="dxa" w:w="3561"/>
            <w:vAlign w:val="top"/>
          </w:tcPr>
          <w:p>
            <w:pPr>
              <w:spacing w:after="0"/>
            </w:pPr>
            <w:r>
              <w:rPr>
                <w:rFonts w:ascii="Times New Roman" w:hAnsi="Times New Roman"/>
                <w:sz w:val="14"/>
              </w:rPr>
              <w:t>Gen. 49:14</w:t>
            </w:r>
          </w:p>
        </w:tc>
        <w:tc>
          <w:tcPr>
            <w:tcW w:type="dxa" w:w="3561"/>
            <w:vAlign w:val="top"/>
          </w:tcPr>
          <w:p>
            <w:pPr>
              <w:spacing w:after="0"/>
            </w:pPr>
            <w:r>
              <w:rPr>
                <w:rFonts w:ascii="Times New Roman" w:hAnsi="Times New Roman"/>
                <w:sz w:val="14"/>
              </w:rPr>
              <w:t>chamor garem</w:t>
            </w:r>
          </w:p>
        </w:tc>
        <w:tc>
          <w:tcPr>
            <w:tcW w:type="dxa" w:w="3561"/>
            <w:vAlign w:val="top"/>
          </w:tcPr>
          <w:p>
            <w:pPr>
              <w:spacing w:after="0"/>
            </w:pPr>
            <w:r>
              <w:rPr>
                <w:rFonts w:ascii="Times New Roman" w:hAnsi="Times New Roman"/>
                <w:sz w:val="14"/>
              </w:rPr>
              <w:t>Strong-boned/bony donkey; avoid speculative “sin’s flesh” etymology.</w:t>
            </w:r>
          </w:p>
        </w:tc>
      </w:tr>
      <w:tr>
        <w:tc>
          <w:tcPr>
            <w:tcW w:type="dxa" w:w="3561"/>
            <w:vAlign w:val="top"/>
          </w:tcPr>
          <w:p>
            <w:pPr>
              <w:spacing w:after="0"/>
            </w:pPr>
            <w:r>
              <w:rPr>
                <w:rFonts w:ascii="Times New Roman" w:hAnsi="Times New Roman"/>
                <w:sz w:val="14"/>
              </w:rPr>
              <w:t>Gen. 49:14</w:t>
            </w:r>
          </w:p>
        </w:tc>
        <w:tc>
          <w:tcPr>
            <w:tcW w:type="dxa" w:w="3561"/>
            <w:vAlign w:val="top"/>
          </w:tcPr>
          <w:p>
            <w:pPr>
              <w:spacing w:after="0"/>
            </w:pPr>
            <w:r>
              <w:rPr>
                <w:rFonts w:ascii="Times New Roman" w:hAnsi="Times New Roman"/>
                <w:sz w:val="14"/>
              </w:rPr>
              <w:t>mishpetayim</w:t>
            </w:r>
          </w:p>
        </w:tc>
        <w:tc>
          <w:tcPr>
            <w:tcW w:type="dxa" w:w="3561"/>
            <w:vAlign w:val="top"/>
          </w:tcPr>
          <w:p>
            <w:pPr>
              <w:spacing w:after="0"/>
            </w:pPr>
            <w:r>
              <w:rPr>
                <w:rFonts w:ascii="Times New Roman" w:hAnsi="Times New Roman"/>
                <w:sz w:val="14"/>
              </w:rPr>
              <w:t>Likely sheepfolds; KJV “two burdens” is an older uncertain rendering.</w:t>
            </w:r>
          </w:p>
        </w:tc>
      </w:tr>
      <w:tr>
        <w:tc>
          <w:tcPr>
            <w:tcW w:type="dxa" w:w="3561"/>
            <w:vAlign w:val="top"/>
          </w:tcPr>
          <w:p>
            <w:pPr>
              <w:spacing w:after="0"/>
            </w:pPr>
            <w:r>
              <w:rPr>
                <w:rFonts w:ascii="Times New Roman" w:hAnsi="Times New Roman"/>
                <w:sz w:val="14"/>
              </w:rPr>
              <w:t>Gen. 49:17</w:t>
            </w:r>
          </w:p>
        </w:tc>
        <w:tc>
          <w:tcPr>
            <w:tcW w:type="dxa" w:w="3561"/>
            <w:vAlign w:val="top"/>
          </w:tcPr>
          <w:p>
            <w:pPr>
              <w:spacing w:after="0"/>
            </w:pPr>
            <w:r>
              <w:rPr>
                <w:rFonts w:ascii="Times New Roman" w:hAnsi="Times New Roman"/>
                <w:sz w:val="14"/>
              </w:rPr>
              <w:t>shephiphon</w:t>
            </w:r>
          </w:p>
        </w:tc>
        <w:tc>
          <w:tcPr>
            <w:tcW w:type="dxa" w:w="3561"/>
            <w:vAlign w:val="top"/>
          </w:tcPr>
          <w:p>
            <w:pPr>
              <w:spacing w:after="0"/>
            </w:pPr>
            <w:r>
              <w:rPr>
                <w:rFonts w:ascii="Times New Roman" w:hAnsi="Times New Roman"/>
                <w:sz w:val="14"/>
              </w:rPr>
              <w:t>Snake/adder species uncertain; strategic heel-strike is the image.</w:t>
            </w:r>
          </w:p>
        </w:tc>
      </w:tr>
      <w:tr>
        <w:tc>
          <w:tcPr>
            <w:tcW w:type="dxa" w:w="3561"/>
            <w:vAlign w:val="top"/>
          </w:tcPr>
          <w:p>
            <w:pPr>
              <w:spacing w:after="0"/>
            </w:pPr>
            <w:r>
              <w:rPr>
                <w:rFonts w:ascii="Times New Roman" w:hAnsi="Times New Roman"/>
                <w:sz w:val="14"/>
              </w:rPr>
              <w:t>Gen. 49:18</w:t>
            </w:r>
          </w:p>
        </w:tc>
        <w:tc>
          <w:tcPr>
            <w:tcW w:type="dxa" w:w="3561"/>
            <w:vAlign w:val="top"/>
          </w:tcPr>
          <w:p>
            <w:pPr>
              <w:spacing w:after="0"/>
            </w:pPr>
            <w:r>
              <w:rPr>
                <w:rFonts w:ascii="Times New Roman" w:hAnsi="Times New Roman"/>
                <w:sz w:val="14"/>
              </w:rPr>
              <w:t>yeshu‘ah</w:t>
            </w:r>
          </w:p>
        </w:tc>
        <w:tc>
          <w:tcPr>
            <w:tcW w:type="dxa" w:w="3561"/>
            <w:vAlign w:val="top"/>
          </w:tcPr>
          <w:p>
            <w:pPr>
              <w:spacing w:after="0"/>
            </w:pPr>
            <w:r>
              <w:rPr>
                <w:rFonts w:ascii="Times New Roman" w:hAnsi="Times New Roman"/>
                <w:sz w:val="14"/>
              </w:rPr>
              <w:t>Salvation/deliverance; Jacob’s explicit hope in Yahweh.</w:t>
            </w:r>
          </w:p>
        </w:tc>
      </w:tr>
      <w:tr>
        <w:tc>
          <w:tcPr>
            <w:tcW w:type="dxa" w:w="3561"/>
            <w:vAlign w:val="top"/>
          </w:tcPr>
          <w:p>
            <w:pPr>
              <w:spacing w:after="0"/>
            </w:pPr>
            <w:r>
              <w:rPr>
                <w:rFonts w:ascii="Times New Roman" w:hAnsi="Times New Roman"/>
                <w:sz w:val="14"/>
              </w:rPr>
              <w:t>Gen. 49:19</w:t>
            </w:r>
          </w:p>
        </w:tc>
        <w:tc>
          <w:tcPr>
            <w:tcW w:type="dxa" w:w="3561"/>
            <w:vAlign w:val="top"/>
          </w:tcPr>
          <w:p>
            <w:pPr>
              <w:spacing w:after="0"/>
            </w:pPr>
            <w:r>
              <w:rPr>
                <w:rFonts w:ascii="Times New Roman" w:hAnsi="Times New Roman"/>
                <w:sz w:val="14"/>
              </w:rPr>
              <w:t>Gad / gedud wordplay</w:t>
            </w:r>
          </w:p>
        </w:tc>
        <w:tc>
          <w:tcPr>
            <w:tcW w:type="dxa" w:w="3561"/>
            <w:vAlign w:val="top"/>
          </w:tcPr>
          <w:p>
            <w:pPr>
              <w:spacing w:after="0"/>
            </w:pPr>
            <w:r>
              <w:rPr>
                <w:rFonts w:ascii="Times New Roman" w:hAnsi="Times New Roman"/>
                <w:sz w:val="14"/>
              </w:rPr>
              <w:t>Raiding troop attacks; Gad counterattacks/presses at the heel.</w:t>
            </w:r>
          </w:p>
        </w:tc>
      </w:tr>
      <w:tr>
        <w:tc>
          <w:tcPr>
            <w:tcW w:type="dxa" w:w="3561"/>
            <w:vAlign w:val="top"/>
          </w:tcPr>
          <w:p>
            <w:pPr>
              <w:spacing w:after="0"/>
            </w:pPr>
            <w:r>
              <w:rPr>
                <w:rFonts w:ascii="Times New Roman" w:hAnsi="Times New Roman"/>
                <w:sz w:val="14"/>
              </w:rPr>
              <w:t>Gen. 49:21</w:t>
            </w:r>
          </w:p>
        </w:tc>
        <w:tc>
          <w:tcPr>
            <w:tcW w:type="dxa" w:w="3561"/>
            <w:vAlign w:val="top"/>
          </w:tcPr>
          <w:p>
            <w:pPr>
              <w:spacing w:after="0"/>
            </w:pPr>
            <w:r>
              <w:rPr>
                <w:rFonts w:ascii="Times New Roman" w:hAnsi="Times New Roman"/>
                <w:sz w:val="14"/>
              </w:rPr>
              <w:t>hind / ancient tree variant</w:t>
            </w:r>
          </w:p>
        </w:tc>
        <w:tc>
          <w:tcPr>
            <w:tcW w:type="dxa" w:w="3561"/>
            <w:vAlign w:val="top"/>
          </w:tcPr>
          <w:p>
            <w:pPr>
              <w:spacing w:after="0"/>
            </w:pPr>
            <w:r>
              <w:rPr>
                <w:rFonts w:ascii="Times New Roman" w:hAnsi="Times New Roman"/>
                <w:sz w:val="14"/>
              </w:rPr>
              <w:t>MT hind/doe + goodly words retained; variant traditions acknowledged.</w:t>
            </w:r>
          </w:p>
        </w:tc>
      </w:tr>
      <w:tr>
        <w:tc>
          <w:tcPr>
            <w:tcW w:type="dxa" w:w="3561"/>
            <w:vAlign w:val="top"/>
          </w:tcPr>
          <w:p>
            <w:pPr>
              <w:spacing w:after="0"/>
            </w:pPr>
            <w:r>
              <w:rPr>
                <w:rFonts w:ascii="Times New Roman" w:hAnsi="Times New Roman"/>
                <w:sz w:val="14"/>
              </w:rPr>
              <w:t>Gen. 49:22</w:t>
            </w:r>
          </w:p>
        </w:tc>
        <w:tc>
          <w:tcPr>
            <w:tcW w:type="dxa" w:w="3561"/>
            <w:vAlign w:val="top"/>
          </w:tcPr>
          <w:p>
            <w:pPr>
              <w:spacing w:after="0"/>
            </w:pPr>
            <w:r>
              <w:rPr>
                <w:rFonts w:ascii="Times New Roman" w:hAnsi="Times New Roman"/>
                <w:sz w:val="14"/>
              </w:rPr>
              <w:t>ben porath</w:t>
            </w:r>
          </w:p>
        </w:tc>
        <w:tc>
          <w:tcPr>
            <w:tcW w:type="dxa" w:w="3561"/>
            <w:vAlign w:val="top"/>
          </w:tcPr>
          <w:p>
            <w:pPr>
              <w:spacing w:after="0"/>
            </w:pPr>
            <w:r>
              <w:rPr>
                <w:rFonts w:ascii="Times New Roman" w:hAnsi="Times New Roman"/>
                <w:sz w:val="14"/>
              </w:rPr>
              <w:t>Fruitful son/bough by a spring; branches/daughters over wall.</w:t>
            </w:r>
          </w:p>
        </w:tc>
      </w:tr>
      <w:tr>
        <w:tc>
          <w:tcPr>
            <w:tcW w:type="dxa" w:w="3561"/>
            <w:vAlign w:val="top"/>
          </w:tcPr>
          <w:p>
            <w:pPr>
              <w:spacing w:after="0"/>
            </w:pPr>
            <w:r>
              <w:rPr>
                <w:rFonts w:ascii="Times New Roman" w:hAnsi="Times New Roman"/>
                <w:sz w:val="14"/>
              </w:rPr>
              <w:t>Gen. 49:24</w:t>
            </w:r>
          </w:p>
        </w:tc>
        <w:tc>
          <w:tcPr>
            <w:tcW w:type="dxa" w:w="3561"/>
            <w:vAlign w:val="top"/>
          </w:tcPr>
          <w:p>
            <w:pPr>
              <w:spacing w:after="0"/>
            </w:pPr>
            <w:r>
              <w:rPr>
                <w:rFonts w:ascii="Times New Roman" w:hAnsi="Times New Roman"/>
                <w:sz w:val="14"/>
              </w:rPr>
              <w:t>ethan / Abir Ya‘aqob</w:t>
            </w:r>
          </w:p>
        </w:tc>
        <w:tc>
          <w:tcPr>
            <w:tcW w:type="dxa" w:w="3561"/>
            <w:vAlign w:val="top"/>
          </w:tcPr>
          <w:p>
            <w:pPr>
              <w:spacing w:after="0"/>
            </w:pPr>
            <w:r>
              <w:rPr>
                <w:rFonts w:ascii="Times New Roman" w:hAnsi="Times New Roman"/>
                <w:sz w:val="14"/>
              </w:rPr>
              <w:t>Bow remains firm; strength comes from Mighty One of Jacob.</w:t>
            </w:r>
          </w:p>
        </w:tc>
      </w:tr>
      <w:tr>
        <w:tc>
          <w:tcPr>
            <w:tcW w:type="dxa" w:w="3561"/>
            <w:vAlign w:val="top"/>
          </w:tcPr>
          <w:p>
            <w:pPr>
              <w:spacing w:after="0"/>
            </w:pPr>
            <w:r>
              <w:rPr>
                <w:rFonts w:ascii="Times New Roman" w:hAnsi="Times New Roman"/>
                <w:sz w:val="14"/>
              </w:rPr>
              <w:t>Gen. 49:24</w:t>
            </w:r>
          </w:p>
        </w:tc>
        <w:tc>
          <w:tcPr>
            <w:tcW w:type="dxa" w:w="3561"/>
            <w:vAlign w:val="top"/>
          </w:tcPr>
          <w:p>
            <w:pPr>
              <w:spacing w:after="0"/>
            </w:pPr>
            <w:r>
              <w:rPr>
                <w:rFonts w:ascii="Times New Roman" w:hAnsi="Times New Roman"/>
                <w:sz w:val="14"/>
              </w:rPr>
              <w:t>Shepherd / Stone</w:t>
            </w:r>
          </w:p>
        </w:tc>
        <w:tc>
          <w:tcPr>
            <w:tcW w:type="dxa" w:w="3561"/>
            <w:vAlign w:val="top"/>
          </w:tcPr>
          <w:p>
            <w:pPr>
              <w:spacing w:after="0"/>
            </w:pPr>
            <w:r>
              <w:rPr>
                <w:rFonts w:ascii="Times New Roman" w:hAnsi="Times New Roman"/>
                <w:sz w:val="14"/>
              </w:rPr>
              <w:t>Compact syntax debated; wider biblical titles secure without forced doctrinal paraphrase.</w:t>
            </w:r>
          </w:p>
        </w:tc>
      </w:tr>
      <w:tr>
        <w:tc>
          <w:tcPr>
            <w:tcW w:type="dxa" w:w="3561"/>
            <w:vAlign w:val="top"/>
          </w:tcPr>
          <w:p>
            <w:pPr>
              <w:spacing w:after="0"/>
            </w:pPr>
            <w:r>
              <w:rPr>
                <w:rFonts w:ascii="Times New Roman" w:hAnsi="Times New Roman"/>
                <w:sz w:val="14"/>
              </w:rPr>
              <w:t>Gen. 49:26</w:t>
            </w:r>
          </w:p>
        </w:tc>
        <w:tc>
          <w:tcPr>
            <w:tcW w:type="dxa" w:w="3561"/>
            <w:vAlign w:val="top"/>
          </w:tcPr>
          <w:p>
            <w:pPr>
              <w:spacing w:after="0"/>
            </w:pPr>
            <w:r>
              <w:rPr>
                <w:rFonts w:ascii="Times New Roman" w:hAnsi="Times New Roman"/>
                <w:sz w:val="14"/>
              </w:rPr>
              <w:t>nezir</w:t>
            </w:r>
          </w:p>
        </w:tc>
        <w:tc>
          <w:tcPr>
            <w:tcW w:type="dxa" w:w="3561"/>
            <w:vAlign w:val="top"/>
          </w:tcPr>
          <w:p>
            <w:pPr>
              <w:spacing w:after="0"/>
            </w:pPr>
            <w:r>
              <w:rPr>
                <w:rFonts w:ascii="Times New Roman" w:hAnsi="Times New Roman"/>
                <w:sz w:val="14"/>
              </w:rPr>
              <w:t>Separated/consecrated/distinguished; related to Nazirite root but not formal Nazirite law.</w:t>
            </w:r>
          </w:p>
        </w:tc>
      </w:tr>
      <w:tr>
        <w:tc>
          <w:tcPr>
            <w:tcW w:type="dxa" w:w="3561"/>
            <w:vAlign w:val="top"/>
          </w:tcPr>
          <w:p>
            <w:pPr>
              <w:spacing w:after="0"/>
            </w:pPr>
            <w:r>
              <w:rPr>
                <w:rFonts w:ascii="Times New Roman" w:hAnsi="Times New Roman"/>
                <w:sz w:val="14"/>
              </w:rPr>
              <w:t>Gen. 49:33</w:t>
            </w:r>
          </w:p>
        </w:tc>
        <w:tc>
          <w:tcPr>
            <w:tcW w:type="dxa" w:w="3561"/>
            <w:vAlign w:val="top"/>
          </w:tcPr>
          <w:p>
            <w:pPr>
              <w:spacing w:after="0"/>
            </w:pPr>
            <w:r>
              <w:rPr>
                <w:rFonts w:ascii="Times New Roman" w:hAnsi="Times New Roman"/>
                <w:sz w:val="14"/>
              </w:rPr>
              <w:t>gava‘</w:t>
            </w:r>
          </w:p>
        </w:tc>
        <w:tc>
          <w:tcPr>
            <w:tcW w:type="dxa" w:w="3561"/>
            <w:vAlign w:val="top"/>
          </w:tcPr>
          <w:p>
            <w:pPr>
              <w:spacing w:after="0"/>
            </w:pPr>
            <w:r>
              <w:rPr>
                <w:rFonts w:ascii="Times New Roman" w:hAnsi="Times New Roman"/>
                <w:sz w:val="14"/>
              </w:rPr>
              <w:t>Expire/breathe one’s last; corrects misleading modern reading of KJV “ghost.”</w:t>
            </w:r>
          </w:p>
        </w:tc>
      </w:tr>
    </w:tbl>
    <w:p>
      <w:pPr>
        <w:pStyle w:val="Heading1"/>
      </w:pPr>
      <w:r>
        <w:t>RESIDUAL UNCERTAINTIES</w:t>
      </w:r>
    </w:p>
    <w:p>
      <w:pPr/>
      <w:r>
        <w:rPr>
          <w:i w:val="0"/>
        </w:rPr>
        <w:t>Several lines in Genesis 49 are deliberately compressed poetry and remain lexically difficult, particularly the Simeon/Levi weapon and ox wording, Shiloh, Issachar’s resting place, Naphtali’s image and the syntax of Joseph’s Shepherd/Stone line. Mansfield’s detailed end-time tribal geography, complete hidden sentence from name meanings, and many one-to-one Christological identifications remain typological exposition rather than certain lexical readings.</w:t>
      </w:r>
    </w:p>
    <w:sectPr w:rsidR="00FC693F" w:rsidRPr="0006063C" w:rsidSect="00034616">
      <w:headerReference w:type="default" r:id="rId9"/>
      <w:footerReference w:type="default" r:id="rId10"/>
      <w:pgSz w:w="12240" w:h="15840"/>
      <w:pgMar w:top="734" w:right="778" w:bottom="734"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49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70"/>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