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LEVITICUS 4</w:t>
      </w:r>
    </w:p>
    <w:p>
      <w:pPr>
        <w:pStyle w:val="Subtitle"/>
      </w:pPr>
      <w:r>
        <w:t>THE SIN / PURIFICATION OFFERING • UNINTENTIONAL SIN • THE ANOINTED PRIEST • THE CONGREGATION • THE RULER • THE COMMON PERSON • ATONEMENT AND FORGIVENESS</w:t>
      </w:r>
    </w:p>
    <w:p>
      <w:pPr/>
      <w:r>
        <w:rPr>
          <w:i/>
        </w:rPr>
        <w:t>H. P. Mansfield Bible notes — checked and arranged in verse-by-verse Expositor style</w:t>
      </w:r>
    </w:p>
    <w:p>
      <w:pPr/>
      <w:r>
        <w:rPr>
          <w:i w:val="0"/>
        </w:rPr>
        <w:t>Source: HPB 02-Gen42-Lev11.pdf, principally Leviticus 4 HPB pages</w:t>
      </w:r>
    </w:p>
    <w:p>
      <w:pPr>
        <w:pStyle w:val="Heading1"/>
      </w:pPr>
      <w:r>
        <w:t>CHAPTER OVERVIEW</w:t>
      </w:r>
    </w:p>
    <w:p>
      <w:pPr/>
      <w:r>
        <w:rPr>
          <w:i w:val="0"/>
        </w:rPr>
        <w:t>Leviticus 4 introduces the chatta’t, traditionally the sin offering and often described by scholars as a purification offering. It addresses sins committed bishgagah — unintentionally, inadvertently or in error.</w:t>
      </w:r>
    </w:p>
    <w:p>
      <w:pPr/>
      <w:r>
        <w:rPr>
          <w:i w:val="0"/>
        </w:rPr>
        <w:t>The KJV “through ignorance” can sound as though lack of information is the sole issue. The Hebrew is broader: wrongdoing may be unintended, yet when it becomes known it still requires acknowledgment and Yahweh’s appointed atonement. Responsibility also varies with representative position.</w:t>
      </w:r>
    </w:p>
    <w:p>
      <w:pPr>
        <w:pStyle w:val="Heading1"/>
      </w:pPr>
      <w:r>
        <w:t>THE PRINCIPLE — LEVITICUS 4:1–2</w:t>
      </w:r>
    </w:p>
    <w:p>
      <w:pPr>
        <w:pStyle w:val="Heading2"/>
      </w:pPr>
      <w:r>
        <w:t>Leviticus 4:1–2 — nephesh sinning unintentionally</w:t>
      </w:r>
    </w:p>
    <w:p>
      <w:pPr/>
      <w:r>
        <w:rPr>
          <w:i w:val="0"/>
        </w:rPr>
        <w:t>A nephesh, person, who sins bishgagah against Yahweh’s prohibitions enters the purification/sin-offering procedure. Bishgagah means inadvertently/unintentionally/in error; “through ignorance” is too narrow if taken to mean the person simply never knew the law.</w:t>
      </w:r>
    </w:p>
    <w:p>
      <w:pPr/>
      <w:r>
        <w:rPr>
          <w:i w:val="0"/>
        </w:rPr>
        <w:t>Objective wrongdoing matters even when rebellion was not deliberate. Yet the chapter is not dealing with high-handed defiance; Numbers 15:27–31 later distinguishes inadvertent sin from presumptuous sin.</w:t>
      </w:r>
    </w:p>
    <w:p>
      <w:pPr>
        <w:pStyle w:val="Heading1"/>
      </w:pPr>
      <w:r>
        <w:t>THE ANOINTED PRIEST — LEVITICUS 4:3–12</w:t>
      </w:r>
    </w:p>
    <w:p>
      <w:pPr>
        <w:pStyle w:val="Heading2"/>
      </w:pPr>
      <w:r>
        <w:t>Leviticus 4:3 — priestly sin has corporate consequence</w:t>
      </w:r>
    </w:p>
    <w:p>
      <w:pPr/>
      <w:r>
        <w:rPr>
          <w:i w:val="0"/>
        </w:rPr>
        <w:t>If the anointed priest sins “to the guilt of the people” (le’ashmath ha‘am), he brings a young bull without blemish. The phrase indicates that representative leadership can involve the people in guilt/consequence; KJV “according to the sin of the people” can obscure that nuance.</w:t>
      </w:r>
    </w:p>
    <w:p>
      <w:pPr>
        <w:pStyle w:val="Heading2"/>
      </w:pPr>
      <w:r>
        <w:t>Leviticus 4:4–7 — hand, slaughter and blood inside</w:t>
      </w:r>
    </w:p>
    <w:p>
      <w:pPr/>
      <w:r>
        <w:rPr>
          <w:i w:val="0"/>
        </w:rPr>
        <w:t>The priest lays a hand on the bull, slaughters it, carries blood into the Tent and sprinkles it seven times before Yahweh toward/before the sanctuary veil. Blood is also put on the horns of the fragrant-incense altar; the remainder is poured at the base of the burnt-offering altar.</w:t>
      </w:r>
    </w:p>
    <w:p>
      <w:pPr/>
      <w:r>
        <w:rPr>
          <w:i w:val="0"/>
        </w:rPr>
        <w:t>Because priestly sin touches sanctuary representation, its blood treatment penetrates further inward than that of a ruler or common person.</w:t>
      </w:r>
    </w:p>
    <w:p>
      <w:pPr>
        <w:pStyle w:val="Heading2"/>
      </w:pPr>
      <w:r>
        <w:t>Leviticus 4:8–12 — fat on altar; carcass outside camp</w:t>
      </w:r>
    </w:p>
    <w:p>
      <w:pPr/>
      <w:r>
        <w:rPr>
          <w:i w:val="0"/>
        </w:rPr>
        <w:t>The specified fat portions are burned on the altar, but hide, flesh, head, legs, entrails and dung are carried outside the camp to a clean place where the ashes are poured and burned on wood.</w:t>
      </w:r>
    </w:p>
    <w:p>
      <w:pPr/>
      <w:r>
        <w:rPr>
          <w:i w:val="0"/>
        </w:rPr>
        <w:t>Hebrews 13:11–13 explicitly uses the outside-the-camp sin-offering bodies in its exhortation concerning Jesus suffering outside the gate. The Christological connection is therefore directly New Testament rather than merely imaginative typology.</w:t>
      </w:r>
    </w:p>
    <w:p>
      <w:pPr>
        <w:pStyle w:val="Heading1"/>
      </w:pPr>
      <w:r>
        <w:t>THE WHOLE CONGREGATION — LEVITICUS 4:13–21</w:t>
      </w:r>
    </w:p>
    <w:p>
      <w:pPr>
        <w:pStyle w:val="Heading2"/>
      </w:pPr>
      <w:r>
        <w:t>Leviticus 4:13–15 — hidden matter becomes known</w:t>
      </w:r>
    </w:p>
    <w:p>
      <w:pPr/>
      <w:r>
        <w:rPr>
          <w:i w:val="0"/>
        </w:rPr>
        <w:t>If the whole congregation errs unintentionally and the matter is hidden from the assembly’s eyes, guilt still exists. When the sin becomes known, the assembly brings a bull and the elders lay hands on its head before Yahweh.</w:t>
      </w:r>
    </w:p>
    <w:p>
      <w:pPr/>
      <w:r>
        <w:rPr>
          <w:i w:val="0"/>
        </w:rPr>
        <w:t>The sequence gives Mansfield’s acknowledgment principle firm textual basis: once the offence is recognised, it is brought openly to Yahweh’s appointed remedy rather than concealed.</w:t>
      </w:r>
    </w:p>
    <w:p>
      <w:pPr>
        <w:pStyle w:val="Heading2"/>
      </w:pPr>
      <w:r>
        <w:t>Leviticus 4:16–21 — same inner blood pattern</w:t>
      </w:r>
    </w:p>
    <w:p>
      <w:pPr/>
      <w:r>
        <w:rPr>
          <w:i w:val="0"/>
        </w:rPr>
        <w:t>The anointed priest carries blood into the Tent, sprinkles seven times before the veil, applies it to the incense altar horns and pours the remainder at the outer altar base. The carcass is burned outside the camp “as he burned the first bull.”</w:t>
      </w:r>
    </w:p>
    <w:p>
      <w:pPr/>
      <w:r>
        <w:rPr>
          <w:i w:val="0"/>
        </w:rPr>
        <w:t>Atonement is made for the congregation and they are forgiven. Corporate responsibility does not exclude mercy.</w:t>
      </w:r>
    </w:p>
    <w:p>
      <w:pPr>
        <w:pStyle w:val="Heading1"/>
      </w:pPr>
      <w:r>
        <w:t>A RULER — LEVITICUS 4:22–26</w:t>
      </w:r>
    </w:p>
    <w:p>
      <w:pPr>
        <w:pStyle w:val="Heading2"/>
      </w:pPr>
      <w:r>
        <w:t>Leviticus 4:22–23 — leadership is not exempt</w:t>
      </w:r>
    </w:p>
    <w:p>
      <w:pPr/>
      <w:r>
        <w:rPr>
          <w:i w:val="0"/>
        </w:rPr>
        <w:t>When a nasi, ruler/chief, sins unintentionally and the matter becomes known, he brings a male goat without blemish. Higher status does not place a ruler beyond Yahweh’s law.</w:t>
      </w:r>
    </w:p>
    <w:p>
      <w:pPr>
        <w:pStyle w:val="Heading2"/>
      </w:pPr>
      <w:r>
        <w:t>Leviticus 4:24–26 — blood at outer altar and forgiveness</w:t>
      </w:r>
    </w:p>
    <w:p>
      <w:pPr/>
      <w:r>
        <w:rPr>
          <w:i w:val="0"/>
        </w:rPr>
        <w:t>The ruler lays his hand on the goat, kills it where the burnt offering is killed, and the priest applies blood to the horns of the burnt-offering altar, not the inner incense altar. The fat is burned, atonement is made, and forgiveness is explicitly promised.</w:t>
      </w:r>
    </w:p>
    <w:p>
      <w:pPr>
        <w:pStyle w:val="Heading1"/>
      </w:pPr>
      <w:r>
        <w:t>ONE OF THE COMMON PEOPLE — LEVITICUS 4:27–35</w:t>
      </w:r>
    </w:p>
    <w:p>
      <w:pPr>
        <w:pStyle w:val="Heading2"/>
      </w:pPr>
      <w:r>
        <w:t>Leviticus 4:27–31 — female goat accepted</w:t>
      </w:r>
    </w:p>
    <w:p>
      <w:pPr/>
      <w:r>
        <w:rPr>
          <w:i w:val="0"/>
        </w:rPr>
        <w:t>A common person who sins unintentionally and later knows it brings a female goat without blemish. Hand-laying, slaughter, blood on the outer altar horns and burning of fat follow.</w:t>
      </w:r>
    </w:p>
    <w:p>
      <w:pPr/>
      <w:r>
        <w:rPr>
          <w:i w:val="0"/>
        </w:rPr>
        <w:t>The lower-cost sacrifice reflects different representative scope, not lesser moral worth before God. Forgiveness remains fully available through the appointed offering.</w:t>
      </w:r>
    </w:p>
    <w:p>
      <w:pPr>
        <w:pStyle w:val="Heading2"/>
      </w:pPr>
      <w:r>
        <w:t>Leviticus 4:32–35 — female lamb alternative</w:t>
      </w:r>
    </w:p>
    <w:p>
      <w:pPr/>
      <w:r>
        <w:rPr>
          <w:i w:val="0"/>
        </w:rPr>
        <w:t>A female lamb without blemish may be brought instead. The same essential actions culminate again in atonement and forgiveness.</w:t>
      </w:r>
    </w:p>
    <w:p>
      <w:pPr>
        <w:pStyle w:val="Heading1"/>
      </w:pPr>
      <w:r>
        <w:t>RESPONSIBILITY, ATONEMENT AND CHRIST</w:t>
      </w:r>
    </w:p>
    <w:p>
      <w:pPr>
        <w:pStyle w:val="Heading2"/>
      </w:pPr>
      <w:r>
        <w:t>Different offices, one need for God’s remedy</w:t>
      </w:r>
    </w:p>
    <w:p>
      <w:pPr/>
      <w:r>
        <w:rPr>
          <w:i w:val="0"/>
        </w:rPr>
        <w:t>The chapter grades the offering according to representative influence: priest and congregation bring bulls; ruler a male goat; common person a female goat or lamb. Mansfield’s point that responsibility varies with position is well grounded.</w:t>
      </w:r>
    </w:p>
    <w:p>
      <w:pPr/>
      <w:r>
        <w:rPr>
          <w:i w:val="0"/>
        </w:rPr>
        <w:t>Hebrews 9–10 explains that the repeated animal offerings could not finally perfect the conscience, while Christ provides the once-for-all sacrifice to which the system pointed. The Levitical chapter should therefore be read as real covenant atonement within Israel and as part of the larger sacrificial pattern fulfilled in Christ.</w:t>
      </w:r>
    </w:p>
    <w:p>
      <w:pPr>
        <w:pStyle w:val="Heading1"/>
      </w:pPr>
      <w:r>
        <w:t>PRINCIPAL THEMES</w:t>
      </w:r>
    </w:p>
    <w:p>
      <w:pPr>
        <w:ind w:left="259" w:hanging="202"/>
      </w:pPr>
      <w:r>
        <w:rPr>
          <w:b/>
        </w:rPr>
        <w:t xml:space="preserve">• </w:t>
      </w:r>
      <w:r>
        <w:t>Bishgagah means unintentional/inadvertent sin, broader than simple ignorance.</w:t>
      </w:r>
    </w:p>
    <w:p>
      <w:pPr>
        <w:ind w:left="259" w:hanging="202"/>
      </w:pPr>
      <w:r>
        <w:rPr>
          <w:b/>
        </w:rPr>
        <w:t xml:space="preserve">• </w:t>
      </w:r>
      <w:r>
        <w:t>Leviticus distinguishes inadvertent failure from presumptuous rebellion.</w:t>
      </w:r>
    </w:p>
    <w:p>
      <w:pPr>
        <w:ind w:left="259" w:hanging="202"/>
      </w:pPr>
      <w:r>
        <w:rPr>
          <w:b/>
        </w:rPr>
        <w:t xml:space="preserve">• </w:t>
      </w:r>
      <w:r>
        <w:t>Representative position affects the sacrificial procedure and consequences.</w:t>
      </w:r>
    </w:p>
    <w:p>
      <w:pPr>
        <w:ind w:left="259" w:hanging="202"/>
      </w:pPr>
      <w:r>
        <w:rPr>
          <w:b/>
        </w:rPr>
        <w:t xml:space="preserve">• </w:t>
      </w:r>
      <w:r>
        <w:t>When sin becomes known it must be acknowledged and dealt with, not rationalised.</w:t>
      </w:r>
    </w:p>
    <w:p>
      <w:pPr>
        <w:ind w:left="259" w:hanging="202"/>
      </w:pPr>
      <w:r>
        <w:rPr>
          <w:b/>
        </w:rPr>
        <w:t xml:space="preserve">• </w:t>
      </w:r>
      <w:r>
        <w:t>Priest and congregation blood reaches the inner incense altar; ruler/common-person blood remains at the outer altar.</w:t>
      </w:r>
    </w:p>
    <w:p>
      <w:pPr>
        <w:ind w:left="259" w:hanging="202"/>
      </w:pPr>
      <w:r>
        <w:rPr>
          <w:b/>
        </w:rPr>
        <w:t xml:space="preserve">• </w:t>
      </w:r>
      <w:r>
        <w:t>Outside-the-camp disposal is explicitly reused in Hebrews 13.</w:t>
      </w:r>
    </w:p>
    <w:p>
      <w:pPr>
        <w:ind w:left="259" w:hanging="202"/>
      </w:pPr>
      <w:r>
        <w:rPr>
          <w:b/>
        </w:rPr>
        <w:t xml:space="preserve">• </w:t>
      </w:r>
      <w:r>
        <w:t>Every social level receives an appointed path to atonement and forgiveness.</w:t>
      </w:r>
    </w:p>
    <w:p>
      <w:pPr>
        <w:ind w:left="259" w:hanging="202"/>
      </w:pPr>
      <w:r>
        <w:rPr>
          <w:b/>
        </w:rPr>
        <w:t xml:space="preserve">• </w:t>
      </w:r>
      <w:r>
        <w:t>Mercy never requires pretending that sin is harmless.</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6"/>
              </w:rPr>
              <w:t>Location</w:t>
            </w:r>
          </w:p>
        </w:tc>
        <w:tc>
          <w:tcPr>
            <w:tcW w:type="dxa" w:w="3561"/>
          </w:tcPr>
          <w:p>
            <w:r>
              <w:rPr>
                <w:rFonts w:ascii="Arial" w:hAnsi="Arial"/>
                <w:b/>
                <w:sz w:val="16"/>
              </w:rPr>
              <w:t>Checked / corrected reading</w:t>
            </w:r>
          </w:p>
        </w:tc>
        <w:tc>
          <w:tcPr>
            <w:tcW w:type="dxa" w:w="3561"/>
          </w:tcPr>
          <w:p>
            <w:r>
              <w:rPr>
                <w:rFonts w:ascii="Arial" w:hAnsi="Arial"/>
                <w:b/>
                <w:sz w:val="16"/>
              </w:rPr>
              <w:t>Basis</w:t>
            </w:r>
          </w:p>
        </w:tc>
      </w:tr>
      <w:tr>
        <w:tc>
          <w:tcPr>
            <w:tcW w:type="dxa" w:w="3561"/>
            <w:vAlign w:val="top"/>
          </w:tcPr>
          <w:p>
            <w:pPr>
              <w:spacing w:after="0"/>
            </w:pPr>
            <w:r>
              <w:rPr>
                <w:rFonts w:ascii="Times New Roman" w:hAnsi="Times New Roman"/>
                <w:sz w:val="14"/>
              </w:rPr>
              <w:t>Lev. 4:2</w:t>
            </w:r>
          </w:p>
        </w:tc>
        <w:tc>
          <w:tcPr>
            <w:tcW w:type="dxa" w:w="3561"/>
            <w:vAlign w:val="top"/>
          </w:tcPr>
          <w:p>
            <w:pPr>
              <w:spacing w:after="0"/>
            </w:pPr>
            <w:r>
              <w:rPr>
                <w:rFonts w:ascii="Times New Roman" w:hAnsi="Times New Roman"/>
                <w:sz w:val="14"/>
              </w:rPr>
              <w:t>nephesh</w:t>
            </w:r>
          </w:p>
        </w:tc>
        <w:tc>
          <w:tcPr>
            <w:tcW w:type="dxa" w:w="3561"/>
            <w:vAlign w:val="top"/>
          </w:tcPr>
          <w:p>
            <w:pPr>
              <w:spacing w:after="0"/>
            </w:pPr>
            <w:r>
              <w:rPr>
                <w:rFonts w:ascii="Times New Roman" w:hAnsi="Times New Roman"/>
                <w:sz w:val="14"/>
              </w:rPr>
              <w:t>Person, not an immortal soul.</w:t>
            </w:r>
          </w:p>
        </w:tc>
      </w:tr>
      <w:tr>
        <w:tc>
          <w:tcPr>
            <w:tcW w:type="dxa" w:w="3561"/>
            <w:vAlign w:val="top"/>
          </w:tcPr>
          <w:p>
            <w:pPr>
              <w:spacing w:after="0"/>
            </w:pPr>
            <w:r>
              <w:rPr>
                <w:rFonts w:ascii="Times New Roman" w:hAnsi="Times New Roman"/>
                <w:sz w:val="14"/>
              </w:rPr>
              <w:t>Lev. 4:2</w:t>
            </w:r>
          </w:p>
        </w:tc>
        <w:tc>
          <w:tcPr>
            <w:tcW w:type="dxa" w:w="3561"/>
            <w:vAlign w:val="top"/>
          </w:tcPr>
          <w:p>
            <w:pPr>
              <w:spacing w:after="0"/>
            </w:pPr>
            <w:r>
              <w:rPr>
                <w:rFonts w:ascii="Times New Roman" w:hAnsi="Times New Roman"/>
                <w:sz w:val="14"/>
              </w:rPr>
              <w:t>bishgagah</w:t>
            </w:r>
          </w:p>
        </w:tc>
        <w:tc>
          <w:tcPr>
            <w:tcW w:type="dxa" w:w="3561"/>
            <w:vAlign w:val="top"/>
          </w:tcPr>
          <w:p>
            <w:pPr>
              <w:spacing w:after="0"/>
            </w:pPr>
            <w:r>
              <w:rPr>
                <w:rFonts w:ascii="Times New Roman" w:hAnsi="Times New Roman"/>
                <w:sz w:val="14"/>
              </w:rPr>
              <w:t>Unintentionally/inadvertently/in error; KJV “through ignorance” can be too narrow.</w:t>
            </w:r>
          </w:p>
        </w:tc>
      </w:tr>
      <w:tr>
        <w:tc>
          <w:tcPr>
            <w:tcW w:type="dxa" w:w="3561"/>
            <w:vAlign w:val="top"/>
          </w:tcPr>
          <w:p>
            <w:pPr>
              <w:spacing w:after="0"/>
            </w:pPr>
            <w:r>
              <w:rPr>
                <w:rFonts w:ascii="Times New Roman" w:hAnsi="Times New Roman"/>
                <w:sz w:val="14"/>
              </w:rPr>
              <w:t>Num. 15:27–31</w:t>
            </w:r>
          </w:p>
        </w:tc>
        <w:tc>
          <w:tcPr>
            <w:tcW w:type="dxa" w:w="3561"/>
            <w:vAlign w:val="top"/>
          </w:tcPr>
          <w:p>
            <w:pPr>
              <w:spacing w:after="0"/>
            </w:pPr>
            <w:r>
              <w:rPr>
                <w:rFonts w:ascii="Times New Roman" w:hAnsi="Times New Roman"/>
                <w:sz w:val="14"/>
              </w:rPr>
              <w:t>inadvertent vs presumptuous</w:t>
            </w:r>
          </w:p>
        </w:tc>
        <w:tc>
          <w:tcPr>
            <w:tcW w:type="dxa" w:w="3561"/>
            <w:vAlign w:val="top"/>
          </w:tcPr>
          <w:p>
            <w:pPr>
              <w:spacing w:after="0"/>
            </w:pPr>
            <w:r>
              <w:rPr>
                <w:rFonts w:ascii="Times New Roman" w:hAnsi="Times New Roman"/>
                <w:sz w:val="14"/>
              </w:rPr>
              <w:t>Later Torah explicitly distinguishes categories.</w:t>
            </w:r>
          </w:p>
        </w:tc>
      </w:tr>
      <w:tr>
        <w:tc>
          <w:tcPr>
            <w:tcW w:type="dxa" w:w="3561"/>
            <w:vAlign w:val="top"/>
          </w:tcPr>
          <w:p>
            <w:pPr>
              <w:spacing w:after="0"/>
            </w:pPr>
            <w:r>
              <w:rPr>
                <w:rFonts w:ascii="Times New Roman" w:hAnsi="Times New Roman"/>
                <w:sz w:val="14"/>
              </w:rPr>
              <w:t>Lev. 4:3</w:t>
            </w:r>
          </w:p>
        </w:tc>
        <w:tc>
          <w:tcPr>
            <w:tcW w:type="dxa" w:w="3561"/>
            <w:vAlign w:val="top"/>
          </w:tcPr>
          <w:p>
            <w:pPr>
              <w:spacing w:after="0"/>
            </w:pPr>
            <w:r>
              <w:rPr>
                <w:rFonts w:ascii="Times New Roman" w:hAnsi="Times New Roman"/>
                <w:sz w:val="14"/>
              </w:rPr>
              <w:t>le’ashmath ha‘am</w:t>
            </w:r>
          </w:p>
        </w:tc>
        <w:tc>
          <w:tcPr>
            <w:tcW w:type="dxa" w:w="3561"/>
            <w:vAlign w:val="top"/>
          </w:tcPr>
          <w:p>
            <w:pPr>
              <w:spacing w:after="0"/>
            </w:pPr>
            <w:r>
              <w:rPr>
                <w:rFonts w:ascii="Times New Roman" w:hAnsi="Times New Roman"/>
                <w:sz w:val="14"/>
              </w:rPr>
              <w:t>Priestly sin can bring guilt upon the people.</w:t>
            </w:r>
          </w:p>
        </w:tc>
      </w:tr>
      <w:tr>
        <w:tc>
          <w:tcPr>
            <w:tcW w:type="dxa" w:w="3561"/>
            <w:vAlign w:val="top"/>
          </w:tcPr>
          <w:p>
            <w:pPr>
              <w:spacing w:after="0"/>
            </w:pPr>
            <w:r>
              <w:rPr>
                <w:rFonts w:ascii="Times New Roman" w:hAnsi="Times New Roman"/>
                <w:sz w:val="14"/>
              </w:rPr>
              <w:t>Lev. 4 heading</w:t>
            </w:r>
          </w:p>
        </w:tc>
        <w:tc>
          <w:tcPr>
            <w:tcW w:type="dxa" w:w="3561"/>
            <w:vAlign w:val="top"/>
          </w:tcPr>
          <w:p>
            <w:pPr>
              <w:spacing w:after="0"/>
            </w:pPr>
            <w:r>
              <w:rPr>
                <w:rFonts w:ascii="Times New Roman" w:hAnsi="Times New Roman"/>
                <w:sz w:val="14"/>
              </w:rPr>
              <w:t>chatta’t</w:t>
            </w:r>
          </w:p>
        </w:tc>
        <w:tc>
          <w:tcPr>
            <w:tcW w:type="dxa" w:w="3561"/>
            <w:vAlign w:val="top"/>
          </w:tcPr>
          <w:p>
            <w:pPr>
              <w:spacing w:after="0"/>
            </w:pPr>
            <w:r>
              <w:rPr>
                <w:rFonts w:ascii="Times New Roman" w:hAnsi="Times New Roman"/>
                <w:sz w:val="14"/>
              </w:rPr>
              <w:t>Traditional sin offering; also described as purification offering.</w:t>
            </w:r>
          </w:p>
        </w:tc>
      </w:tr>
      <w:tr>
        <w:tc>
          <w:tcPr>
            <w:tcW w:type="dxa" w:w="3561"/>
            <w:vAlign w:val="top"/>
          </w:tcPr>
          <w:p>
            <w:pPr>
              <w:spacing w:after="0"/>
            </w:pPr>
            <w:r>
              <w:rPr>
                <w:rFonts w:ascii="Times New Roman" w:hAnsi="Times New Roman"/>
                <w:sz w:val="14"/>
              </w:rPr>
              <w:t>Lev. 4:6</w:t>
            </w:r>
          </w:p>
        </w:tc>
        <w:tc>
          <w:tcPr>
            <w:tcW w:type="dxa" w:w="3561"/>
            <w:vAlign w:val="top"/>
          </w:tcPr>
          <w:p>
            <w:pPr>
              <w:spacing w:after="0"/>
            </w:pPr>
            <w:r>
              <w:rPr>
                <w:rFonts w:ascii="Times New Roman" w:hAnsi="Times New Roman"/>
                <w:sz w:val="14"/>
              </w:rPr>
              <w:t>seven blood applications</w:t>
            </w:r>
          </w:p>
        </w:tc>
        <w:tc>
          <w:tcPr>
            <w:tcW w:type="dxa" w:w="3561"/>
            <w:vAlign w:val="top"/>
          </w:tcPr>
          <w:p>
            <w:pPr>
              <w:spacing w:after="0"/>
            </w:pPr>
            <w:r>
              <w:rPr>
                <w:rFonts w:ascii="Times New Roman" w:hAnsi="Times New Roman"/>
                <w:sz w:val="14"/>
              </w:rPr>
              <w:t>Sprinkled before/toward sanctuary veil.</w:t>
            </w:r>
          </w:p>
        </w:tc>
      </w:tr>
      <w:tr>
        <w:tc>
          <w:tcPr>
            <w:tcW w:type="dxa" w:w="3561"/>
            <w:vAlign w:val="top"/>
          </w:tcPr>
          <w:p>
            <w:pPr>
              <w:spacing w:after="0"/>
            </w:pPr>
            <w:r>
              <w:rPr>
                <w:rFonts w:ascii="Times New Roman" w:hAnsi="Times New Roman"/>
                <w:sz w:val="14"/>
              </w:rPr>
              <w:t>Lev. 4:7</w:t>
            </w:r>
          </w:p>
        </w:tc>
        <w:tc>
          <w:tcPr>
            <w:tcW w:type="dxa" w:w="3561"/>
            <w:vAlign w:val="top"/>
          </w:tcPr>
          <w:p>
            <w:pPr>
              <w:spacing w:after="0"/>
            </w:pPr>
            <w:r>
              <w:rPr>
                <w:rFonts w:ascii="Times New Roman" w:hAnsi="Times New Roman"/>
                <w:sz w:val="14"/>
              </w:rPr>
              <w:t>incense altar horns</w:t>
            </w:r>
          </w:p>
        </w:tc>
        <w:tc>
          <w:tcPr>
            <w:tcW w:type="dxa" w:w="3561"/>
            <w:vAlign w:val="top"/>
          </w:tcPr>
          <w:p>
            <w:pPr>
              <w:spacing w:after="0"/>
            </w:pPr>
            <w:r>
              <w:rPr>
                <w:rFonts w:ascii="Times New Roman" w:hAnsi="Times New Roman"/>
                <w:sz w:val="14"/>
              </w:rPr>
              <w:t>Priestly blood reaches inner altar.</w:t>
            </w:r>
          </w:p>
        </w:tc>
      </w:tr>
      <w:tr>
        <w:tc>
          <w:tcPr>
            <w:tcW w:type="dxa" w:w="3561"/>
            <w:vAlign w:val="top"/>
          </w:tcPr>
          <w:p>
            <w:pPr>
              <w:spacing w:after="0"/>
            </w:pPr>
            <w:r>
              <w:rPr>
                <w:rFonts w:ascii="Times New Roman" w:hAnsi="Times New Roman"/>
                <w:sz w:val="14"/>
              </w:rPr>
              <w:t>Lev. 4:12</w:t>
            </w:r>
          </w:p>
        </w:tc>
        <w:tc>
          <w:tcPr>
            <w:tcW w:type="dxa" w:w="3561"/>
            <w:vAlign w:val="top"/>
          </w:tcPr>
          <w:p>
            <w:pPr>
              <w:spacing w:after="0"/>
            </w:pPr>
            <w:r>
              <w:rPr>
                <w:rFonts w:ascii="Times New Roman" w:hAnsi="Times New Roman"/>
                <w:sz w:val="14"/>
              </w:rPr>
              <w:t>outside the camp</w:t>
            </w:r>
          </w:p>
        </w:tc>
        <w:tc>
          <w:tcPr>
            <w:tcW w:type="dxa" w:w="3561"/>
            <w:vAlign w:val="top"/>
          </w:tcPr>
          <w:p>
            <w:pPr>
              <w:spacing w:after="0"/>
            </w:pPr>
            <w:r>
              <w:rPr>
                <w:rFonts w:ascii="Times New Roman" w:hAnsi="Times New Roman"/>
                <w:sz w:val="14"/>
              </w:rPr>
              <w:t>Carcass burned at clean ash place.</w:t>
            </w:r>
          </w:p>
        </w:tc>
      </w:tr>
      <w:tr>
        <w:tc>
          <w:tcPr>
            <w:tcW w:type="dxa" w:w="3561"/>
            <w:vAlign w:val="top"/>
          </w:tcPr>
          <w:p>
            <w:pPr>
              <w:spacing w:after="0"/>
            </w:pPr>
            <w:r>
              <w:rPr>
                <w:rFonts w:ascii="Times New Roman" w:hAnsi="Times New Roman"/>
                <w:sz w:val="14"/>
              </w:rPr>
              <w:t>Heb. 13:11–13</w:t>
            </w:r>
          </w:p>
        </w:tc>
        <w:tc>
          <w:tcPr>
            <w:tcW w:type="dxa" w:w="3561"/>
            <w:vAlign w:val="top"/>
          </w:tcPr>
          <w:p>
            <w:pPr>
              <w:spacing w:after="0"/>
            </w:pPr>
            <w:r>
              <w:rPr>
                <w:rFonts w:ascii="Times New Roman" w:hAnsi="Times New Roman"/>
                <w:sz w:val="14"/>
              </w:rPr>
              <w:t>outside-the-camp application</w:t>
            </w:r>
          </w:p>
        </w:tc>
        <w:tc>
          <w:tcPr>
            <w:tcW w:type="dxa" w:w="3561"/>
            <w:vAlign w:val="top"/>
          </w:tcPr>
          <w:p>
            <w:pPr>
              <w:spacing w:after="0"/>
            </w:pPr>
            <w:r>
              <w:rPr>
                <w:rFonts w:ascii="Times New Roman" w:hAnsi="Times New Roman"/>
                <w:sz w:val="14"/>
              </w:rPr>
              <w:t>Explicit NT use concerning Christ.</w:t>
            </w:r>
          </w:p>
        </w:tc>
      </w:tr>
      <w:tr>
        <w:tc>
          <w:tcPr>
            <w:tcW w:type="dxa" w:w="3561"/>
            <w:vAlign w:val="top"/>
          </w:tcPr>
          <w:p>
            <w:pPr>
              <w:spacing w:after="0"/>
            </w:pPr>
            <w:r>
              <w:rPr>
                <w:rFonts w:ascii="Times New Roman" w:hAnsi="Times New Roman"/>
                <w:sz w:val="14"/>
              </w:rPr>
              <w:t>Lev. 4:13–14</w:t>
            </w:r>
          </w:p>
        </w:tc>
        <w:tc>
          <w:tcPr>
            <w:tcW w:type="dxa" w:w="3561"/>
            <w:vAlign w:val="top"/>
          </w:tcPr>
          <w:p>
            <w:pPr>
              <w:spacing w:after="0"/>
            </w:pPr>
            <w:r>
              <w:rPr>
                <w:rFonts w:ascii="Times New Roman" w:hAnsi="Times New Roman"/>
                <w:sz w:val="14"/>
              </w:rPr>
              <w:t>congregational sin becomes known</w:t>
            </w:r>
          </w:p>
        </w:tc>
        <w:tc>
          <w:tcPr>
            <w:tcW w:type="dxa" w:w="3561"/>
            <w:vAlign w:val="top"/>
          </w:tcPr>
          <w:p>
            <w:pPr>
              <w:spacing w:after="0"/>
            </w:pPr>
            <w:r>
              <w:rPr>
                <w:rFonts w:ascii="Times New Roman" w:hAnsi="Times New Roman"/>
                <w:sz w:val="14"/>
              </w:rPr>
              <w:t>Recognition triggers appointed offering.</w:t>
            </w:r>
          </w:p>
        </w:tc>
      </w:tr>
      <w:tr>
        <w:tc>
          <w:tcPr>
            <w:tcW w:type="dxa" w:w="3561"/>
            <w:vAlign w:val="top"/>
          </w:tcPr>
          <w:p>
            <w:pPr>
              <w:spacing w:after="0"/>
            </w:pPr>
            <w:r>
              <w:rPr>
                <w:rFonts w:ascii="Times New Roman" w:hAnsi="Times New Roman"/>
                <w:sz w:val="14"/>
              </w:rPr>
              <w:t>Lev. 4:20</w:t>
            </w:r>
          </w:p>
        </w:tc>
        <w:tc>
          <w:tcPr>
            <w:tcW w:type="dxa" w:w="3561"/>
            <w:vAlign w:val="top"/>
          </w:tcPr>
          <w:p>
            <w:pPr>
              <w:spacing w:after="0"/>
            </w:pPr>
            <w:r>
              <w:rPr>
                <w:rFonts w:ascii="Times New Roman" w:hAnsi="Times New Roman"/>
                <w:sz w:val="14"/>
              </w:rPr>
              <w:t>atonement and forgiveness</w:t>
            </w:r>
          </w:p>
        </w:tc>
        <w:tc>
          <w:tcPr>
            <w:tcW w:type="dxa" w:w="3561"/>
            <w:vAlign w:val="top"/>
          </w:tcPr>
          <w:p>
            <w:pPr>
              <w:spacing w:after="0"/>
            </w:pPr>
            <w:r>
              <w:rPr>
                <w:rFonts w:ascii="Times New Roman" w:hAnsi="Times New Roman"/>
                <w:sz w:val="14"/>
              </w:rPr>
              <w:t>Explicit corporate forgiveness.</w:t>
            </w:r>
          </w:p>
        </w:tc>
      </w:tr>
      <w:tr>
        <w:tc>
          <w:tcPr>
            <w:tcW w:type="dxa" w:w="3561"/>
            <w:vAlign w:val="top"/>
          </w:tcPr>
          <w:p>
            <w:pPr>
              <w:spacing w:after="0"/>
            </w:pPr>
            <w:r>
              <w:rPr>
                <w:rFonts w:ascii="Times New Roman" w:hAnsi="Times New Roman"/>
                <w:sz w:val="14"/>
              </w:rPr>
              <w:t>Lev. 4:22</w:t>
            </w:r>
          </w:p>
        </w:tc>
        <w:tc>
          <w:tcPr>
            <w:tcW w:type="dxa" w:w="3561"/>
            <w:vAlign w:val="top"/>
          </w:tcPr>
          <w:p>
            <w:pPr>
              <w:spacing w:after="0"/>
            </w:pPr>
            <w:r>
              <w:rPr>
                <w:rFonts w:ascii="Times New Roman" w:hAnsi="Times New Roman"/>
                <w:sz w:val="14"/>
              </w:rPr>
              <w:t>nasi</w:t>
            </w:r>
          </w:p>
        </w:tc>
        <w:tc>
          <w:tcPr>
            <w:tcW w:type="dxa" w:w="3561"/>
            <w:vAlign w:val="top"/>
          </w:tcPr>
          <w:p>
            <w:pPr>
              <w:spacing w:after="0"/>
            </w:pPr>
            <w:r>
              <w:rPr>
                <w:rFonts w:ascii="Times New Roman" w:hAnsi="Times New Roman"/>
                <w:sz w:val="14"/>
              </w:rPr>
              <w:t>Ruler/chief.</w:t>
            </w:r>
          </w:p>
        </w:tc>
      </w:tr>
      <w:tr>
        <w:tc>
          <w:tcPr>
            <w:tcW w:type="dxa" w:w="3561"/>
            <w:vAlign w:val="top"/>
          </w:tcPr>
          <w:p>
            <w:pPr>
              <w:spacing w:after="0"/>
            </w:pPr>
            <w:r>
              <w:rPr>
                <w:rFonts w:ascii="Times New Roman" w:hAnsi="Times New Roman"/>
                <w:sz w:val="14"/>
              </w:rPr>
              <w:t>Lev. 4:25</w:t>
            </w:r>
          </w:p>
        </w:tc>
        <w:tc>
          <w:tcPr>
            <w:tcW w:type="dxa" w:w="3561"/>
            <w:vAlign w:val="top"/>
          </w:tcPr>
          <w:p>
            <w:pPr>
              <w:spacing w:after="0"/>
            </w:pPr>
            <w:r>
              <w:rPr>
                <w:rFonts w:ascii="Times New Roman" w:hAnsi="Times New Roman"/>
                <w:sz w:val="14"/>
              </w:rPr>
              <w:t>outer altar horns</w:t>
            </w:r>
          </w:p>
        </w:tc>
        <w:tc>
          <w:tcPr>
            <w:tcW w:type="dxa" w:w="3561"/>
            <w:vAlign w:val="top"/>
          </w:tcPr>
          <w:p>
            <w:pPr>
              <w:spacing w:after="0"/>
            </w:pPr>
            <w:r>
              <w:rPr>
                <w:rFonts w:ascii="Times New Roman" w:hAnsi="Times New Roman"/>
                <w:sz w:val="14"/>
              </w:rPr>
              <w:t>Ruler procedure differs from priest/congregation.</w:t>
            </w:r>
          </w:p>
        </w:tc>
      </w:tr>
      <w:tr>
        <w:tc>
          <w:tcPr>
            <w:tcW w:type="dxa" w:w="3561"/>
            <w:vAlign w:val="top"/>
          </w:tcPr>
          <w:p>
            <w:pPr>
              <w:spacing w:after="0"/>
            </w:pPr>
            <w:r>
              <w:rPr>
                <w:rFonts w:ascii="Times New Roman" w:hAnsi="Times New Roman"/>
                <w:sz w:val="14"/>
              </w:rPr>
              <w:t>Lev. 4:27</w:t>
            </w:r>
          </w:p>
        </w:tc>
        <w:tc>
          <w:tcPr>
            <w:tcW w:type="dxa" w:w="3561"/>
            <w:vAlign w:val="top"/>
          </w:tcPr>
          <w:p>
            <w:pPr>
              <w:spacing w:after="0"/>
            </w:pPr>
            <w:r>
              <w:rPr>
                <w:rFonts w:ascii="Times New Roman" w:hAnsi="Times New Roman"/>
                <w:sz w:val="14"/>
              </w:rPr>
              <w:t>common person</w:t>
            </w:r>
          </w:p>
        </w:tc>
        <w:tc>
          <w:tcPr>
            <w:tcW w:type="dxa" w:w="3561"/>
            <w:vAlign w:val="top"/>
          </w:tcPr>
          <w:p>
            <w:pPr>
              <w:spacing w:after="0"/>
            </w:pPr>
            <w:r>
              <w:rPr>
                <w:rFonts w:ascii="Times New Roman" w:hAnsi="Times New Roman"/>
                <w:sz w:val="14"/>
              </w:rPr>
              <w:t>Female goat or lamb permitted.</w:t>
            </w:r>
          </w:p>
        </w:tc>
      </w:tr>
      <w:tr>
        <w:tc>
          <w:tcPr>
            <w:tcW w:type="dxa" w:w="3561"/>
            <w:vAlign w:val="top"/>
          </w:tcPr>
          <w:p>
            <w:pPr>
              <w:spacing w:after="0"/>
            </w:pPr>
            <w:r>
              <w:rPr>
                <w:rFonts w:ascii="Times New Roman" w:hAnsi="Times New Roman"/>
                <w:sz w:val="14"/>
              </w:rPr>
              <w:t>Lev. 4:31,35</w:t>
            </w:r>
          </w:p>
        </w:tc>
        <w:tc>
          <w:tcPr>
            <w:tcW w:type="dxa" w:w="3561"/>
            <w:vAlign w:val="top"/>
          </w:tcPr>
          <w:p>
            <w:pPr>
              <w:spacing w:after="0"/>
            </w:pPr>
            <w:r>
              <w:rPr>
                <w:rFonts w:ascii="Times New Roman" w:hAnsi="Times New Roman"/>
                <w:sz w:val="14"/>
              </w:rPr>
              <w:t>forgiven</w:t>
            </w:r>
          </w:p>
        </w:tc>
        <w:tc>
          <w:tcPr>
            <w:tcW w:type="dxa" w:w="3561"/>
            <w:vAlign w:val="top"/>
          </w:tcPr>
          <w:p>
            <w:pPr>
              <w:spacing w:after="0"/>
            </w:pPr>
            <w:r>
              <w:rPr>
                <w:rFonts w:ascii="Times New Roman" w:hAnsi="Times New Roman"/>
                <w:sz w:val="14"/>
              </w:rPr>
              <w:t>Forgiveness explicitly follows atonement.</w:t>
            </w:r>
          </w:p>
        </w:tc>
      </w:tr>
    </w:tbl>
    <w:p>
      <w:pPr>
        <w:pStyle w:val="Heading1"/>
      </w:pPr>
      <w:r>
        <w:t>RESIDUAL UNCERTAINTIES</w:t>
      </w:r>
    </w:p>
    <w:p>
      <w:pPr/>
      <w:r>
        <w:rPr>
          <w:i w:val="0"/>
        </w:rPr>
        <w:t>The English label “sin offering” remains traditional, while “purification offering” highlights the sanctuary-cleansing function recognised by many scholars; neither label should be made to exclude the other dimension. The exact syntax of Leviticus 4:3 is difficult, but “bringing guilt upon the people” is more precise than a flat comparison with their sin. Mansfield’s responsibility hierarchy is strong, while detailed symbolic correspondences remain secondary.</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LEVITICUS 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4"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6" w:after="16"/>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6" w:after="16"/>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