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5</w:t>
      </w:r>
    </w:p>
    <w:p>
      <w:pPr>
        <w:pStyle w:val="Subtitle"/>
      </w:pPr>
      <w:r>
        <w:t>CONFESSION AND GUILT • FAILURE TO TESTIFY • UNCLEANNESS AND RASH OATHS • PROVISION FOR THE POOR • TRESPASS IN HOLY THINGS • RESTITUTION PLUS A FIFTH</w:t>
      </w:r>
    </w:p>
    <w:p>
      <w:pPr/>
      <w:r>
        <w:rPr>
          <w:i/>
        </w:rPr>
        <w:t>H. P. Mansfield Bible notes — checked and arranged in verse-by-verse Expositor style</w:t>
      </w:r>
    </w:p>
    <w:p>
      <w:pPr/>
      <w:r>
        <w:rPr>
          <w:i w:val="0"/>
        </w:rPr>
        <w:t>Source: HPB 02-Gen42-Lev11.pdf, principally Leviticus 5 HPB pages</w:t>
      </w:r>
    </w:p>
    <w:p>
      <w:pPr>
        <w:pStyle w:val="Heading1"/>
      </w:pPr>
      <w:r>
        <w:t>CHAPTER OVERVIEW</w:t>
      </w:r>
    </w:p>
    <w:p>
      <w:pPr/>
      <w:r>
        <w:rPr>
          <w:i w:val="0"/>
        </w:rPr>
        <w:t>Leviticus 5 continues the sin-offering material and then introduces the ’asham, guilt/trespass offering. The chapter links guilt with confession, graded provision according to means, and—where measurable loss has occurred—restitution.</w:t>
      </w:r>
    </w:p>
    <w:p>
      <w:pPr/>
      <w:r>
        <w:rPr>
          <w:i w:val="0"/>
        </w:rPr>
        <w:t>Mansfield’s central point is sound: forgiveness is gracious but never makes injury inconsequential. A poor worshipper is not excluded from atonement, while one who has misused holy property must repair the wrong as well as bring sacrifice.</w:t>
      </w:r>
    </w:p>
    <w:p>
      <w:pPr>
        <w:pStyle w:val="Heading1"/>
      </w:pPr>
      <w:r>
        <w:t>SPECIFIC CASES REQUIRING CONFESSION — LEVITICUS 5:1–6</w:t>
      </w:r>
    </w:p>
    <w:p>
      <w:pPr>
        <w:pStyle w:val="Heading2"/>
      </w:pPr>
      <w:r>
        <w:t>Leviticus 5:1 — silence can incur guilt</w:t>
      </w:r>
    </w:p>
    <w:p>
      <w:pPr/>
      <w:r>
        <w:rPr>
          <w:i w:val="0"/>
        </w:rPr>
        <w:t>A person who hears a qol ’alah, a public adjuration/call to testify, and has seen or knows the matter but fails to declare it “shall bear his iniquity.” The case is not mere gossip: it concerns withheld relevant testimony when truth is formally required.</w:t>
      </w:r>
    </w:p>
    <w:p>
      <w:pPr>
        <w:pStyle w:val="Heading2"/>
      </w:pPr>
      <w:r>
        <w:t>Leviticus 5:2–3 — uncleanness discovered later</w:t>
      </w:r>
    </w:p>
    <w:p>
      <w:pPr/>
      <w:r>
        <w:rPr>
          <w:i w:val="0"/>
        </w:rPr>
        <w:t>Unrecognised contact with an unclean carcass or human uncleanness can make a person unclean and guilty; when the matter becomes known, responsibility must be addressed. The law distinguishes initial unawareness from continuing disregard after discovery.</w:t>
      </w:r>
    </w:p>
    <w:p>
      <w:pPr>
        <w:pStyle w:val="Heading2"/>
      </w:pPr>
      <w:r>
        <w:t>Leviticus 5:4–5 — rash speech and confession</w:t>
      </w:r>
    </w:p>
    <w:p>
      <w:pPr/>
      <w:r>
        <w:rPr>
          <w:i w:val="0"/>
        </w:rPr>
        <w:t>A person who rashly swears with the lips to do evil or good may only later realise the implications. Once guilt in one of these matters is recognised, “he shall confess that he hath sinned in that thing.” Yadah here involves acknowledgment/confession, not concealment or excuse.</w:t>
      </w:r>
    </w:p>
    <w:p>
      <w:pPr>
        <w:pStyle w:val="Heading2"/>
      </w:pPr>
      <w:r>
        <w:t>Leviticus 5:6 — flock offering and atonement</w:t>
      </w:r>
    </w:p>
    <w:p>
      <w:pPr/>
      <w:r>
        <w:rPr>
          <w:i w:val="0"/>
        </w:rPr>
        <w:t>A female sheep or goat is brought “for his guilt” concerning the sin, and the priest makes atonement. The verse uses overlapping guilt/sin vocabulary; the more specialised ’asham procedure begins clearly in verse 14.</w:t>
      </w:r>
    </w:p>
    <w:p>
      <w:pPr>
        <w:pStyle w:val="Heading1"/>
      </w:pPr>
      <w:r>
        <w:t>ATONEMENT WITHIN EVERY ECONOMIC REACH — LEVITICUS 5:7–13</w:t>
      </w:r>
    </w:p>
    <w:p>
      <w:pPr>
        <w:pStyle w:val="Heading2"/>
      </w:pPr>
      <w:r>
        <w:t>Leviticus 5:7–10 — birds when the hand cannot reach a lamb</w:t>
      </w:r>
    </w:p>
    <w:p>
      <w:pPr/>
      <w:r>
        <w:rPr>
          <w:i w:val="0"/>
        </w:rPr>
        <w:t>If the worshipper’s “hand does not reach” enough for a lamb, two turtledoves or young pigeons are accepted: one as sin offering and one as burnt offering. Poverty changes the cost, not access to Yahweh’s remedy.</w:t>
      </w:r>
    </w:p>
    <w:p>
      <w:pPr>
        <w:pStyle w:val="Heading2"/>
      </w:pPr>
      <w:r>
        <w:t>Leviticus 5:11–13 — a tenth ephah of fine flour</w:t>
      </w:r>
    </w:p>
    <w:p>
      <w:pPr/>
      <w:r>
        <w:rPr>
          <w:i w:val="0"/>
        </w:rPr>
        <w:t>If even birds are beyond reach, one tenth of an ephah of fine flour is accepted as the sin offering. No oil or frankincense is added because this is not an ordinary minchah of dedication.</w:t>
      </w:r>
    </w:p>
    <w:p>
      <w:pPr/>
      <w:r>
        <w:rPr>
          <w:i w:val="0"/>
        </w:rPr>
        <w:t>A memorial handful is burned upon Yahweh’s fire offerings and the priest receives the remainder as with a meal offering. The extraordinary concession shows atonement made accessible even at the lowest economic level.</w:t>
      </w:r>
    </w:p>
    <w:p>
      <w:pPr>
        <w:pStyle w:val="Heading1"/>
      </w:pPr>
      <w:r>
        <w:t>GUILT OFFERING FOR HOLY THINGS — LEVITICUS 5:14–16</w:t>
      </w:r>
    </w:p>
    <w:p>
      <w:pPr>
        <w:pStyle w:val="Heading2"/>
      </w:pPr>
      <w:r>
        <w:t>Leviticus 5:14–16 — ma‘al, ram and restitution</w:t>
      </w:r>
    </w:p>
    <w:p>
      <w:pPr/>
      <w:r>
        <w:rPr>
          <w:i w:val="0"/>
        </w:rPr>
        <w:t>If a person commits ma‘al, an act of unfaithfulness/trespass, unintentionally in Yahweh’s holy things, a ram without blemish is brought according to an assessed sanctuary-shekel value.</w:t>
      </w:r>
    </w:p>
    <w:p>
      <w:pPr/>
      <w:r>
        <w:rPr>
          <w:i w:val="0"/>
        </w:rPr>
        <w:t>The misused holy value must also be restored, with a fifth—20 percent—added. Sacrifice does not replace restitution. The offender gives the repaired value to the priest and receives atonement through the ram.</w:t>
      </w:r>
    </w:p>
    <w:p>
      <w:pPr>
        <w:pStyle w:val="Heading1"/>
      </w:pPr>
      <w:r>
        <w:t>GUILT EVEN BEFORE FULL AWARENESS — LEVITICUS 5:17–19</w:t>
      </w:r>
    </w:p>
    <w:p>
      <w:pPr>
        <w:pStyle w:val="Heading2"/>
      </w:pPr>
      <w:r>
        <w:t>Leviticus 5:17–19 — “though he wist it not”</w:t>
      </w:r>
    </w:p>
    <w:p>
      <w:pPr/>
      <w:r>
        <w:rPr>
          <w:i w:val="0"/>
        </w:rPr>
        <w:t>A person who violates a prohibition without knowing the fact is still described as guilty and bearing iniquity. A properly valued ram is brought and the priest makes atonement for the inadvertent error.</w:t>
      </w:r>
    </w:p>
    <w:p>
      <w:pPr/>
      <w:r>
        <w:rPr>
          <w:i w:val="0"/>
        </w:rPr>
        <w:t>The law does not equate unintentional failure with high-handed rebellion, but neither does subjective ignorance turn wrong into right. Yahweh provides an appointed means when the fault is recognised and dealt with.</w:t>
      </w:r>
    </w:p>
    <w:p>
      <w:pPr>
        <w:pStyle w:val="Heading1"/>
      </w:pPr>
      <w:r>
        <w:t>CONFESSION, REPARATION AND CHRIST</w:t>
      </w:r>
    </w:p>
    <w:p>
      <w:pPr>
        <w:pStyle w:val="Heading2"/>
      </w:pPr>
      <w:r>
        <w:t>Forgiveness does not exclude practical repair</w:t>
      </w:r>
    </w:p>
    <w:p>
      <w:pPr/>
      <w:r>
        <w:rPr>
          <w:i w:val="0"/>
        </w:rPr>
        <w:t>First John 1:9 joins confession with Divine forgiveness, while Zacchaeus’ response in Luke 19:8 illustrates the moral principle of restitution where others have been defrauded. These passages do not reproduce the Mosaic tariff but support Mansfield’s distinction between verbal regret and repentance that repairs harm where possible.</w:t>
      </w:r>
    </w:p>
    <w:p>
      <w:pPr>
        <w:pStyle w:val="Heading1"/>
      </w:pPr>
      <w:r>
        <w:t>PRINCIPAL THEMES</w:t>
      </w:r>
    </w:p>
    <w:p>
      <w:pPr>
        <w:ind w:left="259" w:hanging="202"/>
      </w:pPr>
      <w:r>
        <w:rPr>
          <w:b/>
        </w:rPr>
        <w:t xml:space="preserve">• </w:t>
      </w:r>
      <w:r>
        <w:t>Withholding required testimony can itself be culpable.</w:t>
      </w:r>
    </w:p>
    <w:p>
      <w:pPr>
        <w:ind w:left="259" w:hanging="202"/>
      </w:pPr>
      <w:r>
        <w:rPr>
          <w:b/>
        </w:rPr>
        <w:t xml:space="preserve">• </w:t>
      </w:r>
      <w:r>
        <w:t>Unrecognised uncleanness must be addressed once it becomes known.</w:t>
      </w:r>
    </w:p>
    <w:p>
      <w:pPr>
        <w:ind w:left="259" w:hanging="202"/>
      </w:pPr>
      <w:r>
        <w:rPr>
          <w:b/>
        </w:rPr>
        <w:t xml:space="preserve">• </w:t>
      </w:r>
      <w:r>
        <w:t>Rash words carry moral responsibility and discovered guilt calls for confession.</w:t>
      </w:r>
    </w:p>
    <w:p>
      <w:pPr>
        <w:ind w:left="259" w:hanging="202"/>
      </w:pPr>
      <w:r>
        <w:rPr>
          <w:b/>
        </w:rPr>
        <w:t xml:space="preserve">• </w:t>
      </w:r>
      <w:r>
        <w:t>Yahweh scales sacrifice so poverty does not bar access to atonement.</w:t>
      </w:r>
    </w:p>
    <w:p>
      <w:pPr>
        <w:ind w:left="259" w:hanging="202"/>
      </w:pPr>
      <w:r>
        <w:rPr>
          <w:b/>
        </w:rPr>
        <w:t xml:space="preserve">• </w:t>
      </w:r>
      <w:r>
        <w:t>The poorest worshipper can bring fine flour without oil or frankincense.</w:t>
      </w:r>
    </w:p>
    <w:p>
      <w:pPr>
        <w:ind w:left="259" w:hanging="202"/>
      </w:pPr>
      <w:r>
        <w:rPr>
          <w:b/>
        </w:rPr>
        <w:t xml:space="preserve">• </w:t>
      </w:r>
      <w:r>
        <w:t>Trespass in holy things requires both sacrifice and restitution plus twenty percent.</w:t>
      </w:r>
    </w:p>
    <w:p>
      <w:pPr>
        <w:ind w:left="259" w:hanging="202"/>
      </w:pPr>
      <w:r>
        <w:rPr>
          <w:b/>
        </w:rPr>
        <w:t xml:space="preserve">• </w:t>
      </w:r>
      <w:r>
        <w:t>Unintentional wrongdoing is not the same as presumptuous rebellion, but remains real wrongdoing.</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Lev. 5:1</w:t>
            </w:r>
          </w:p>
        </w:tc>
        <w:tc>
          <w:tcPr>
            <w:tcW w:type="dxa" w:w="3561"/>
            <w:vAlign w:val="top"/>
          </w:tcPr>
          <w:p>
            <w:pPr>
              <w:spacing w:after="0"/>
            </w:pPr>
            <w:r>
              <w:rPr>
                <w:rFonts w:ascii="Times New Roman" w:hAnsi="Times New Roman"/>
                <w:sz w:val="14"/>
              </w:rPr>
              <w:t>qol ’alah</w:t>
            </w:r>
          </w:p>
        </w:tc>
        <w:tc>
          <w:tcPr>
            <w:tcW w:type="dxa" w:w="3561"/>
            <w:vAlign w:val="top"/>
          </w:tcPr>
          <w:p>
            <w:pPr>
              <w:spacing w:after="0"/>
            </w:pPr>
            <w:r>
              <w:rPr>
                <w:rFonts w:ascii="Times New Roman" w:hAnsi="Times New Roman"/>
                <w:sz w:val="14"/>
              </w:rPr>
              <w:t>Voice/call of adjuration requiring testimony.</w:t>
            </w:r>
          </w:p>
        </w:tc>
      </w:tr>
      <w:tr>
        <w:tc>
          <w:tcPr>
            <w:tcW w:type="dxa" w:w="3561"/>
            <w:vAlign w:val="top"/>
          </w:tcPr>
          <w:p>
            <w:pPr>
              <w:spacing w:after="0"/>
            </w:pPr>
            <w:r>
              <w:rPr>
                <w:rFonts w:ascii="Times New Roman" w:hAnsi="Times New Roman"/>
                <w:sz w:val="14"/>
              </w:rPr>
              <w:t>Lev. 5:1</w:t>
            </w:r>
          </w:p>
        </w:tc>
        <w:tc>
          <w:tcPr>
            <w:tcW w:type="dxa" w:w="3561"/>
            <w:vAlign w:val="top"/>
          </w:tcPr>
          <w:p>
            <w:pPr>
              <w:spacing w:after="0"/>
            </w:pPr>
            <w:r>
              <w:rPr>
                <w:rFonts w:ascii="Times New Roman" w:hAnsi="Times New Roman"/>
                <w:sz w:val="14"/>
              </w:rPr>
              <w:t>bear iniquity</w:t>
            </w:r>
          </w:p>
        </w:tc>
        <w:tc>
          <w:tcPr>
            <w:tcW w:type="dxa" w:w="3561"/>
            <w:vAlign w:val="top"/>
          </w:tcPr>
          <w:p>
            <w:pPr>
              <w:spacing w:after="0"/>
            </w:pPr>
            <w:r>
              <w:rPr>
                <w:rFonts w:ascii="Times New Roman" w:hAnsi="Times New Roman"/>
                <w:sz w:val="14"/>
              </w:rPr>
              <w:t>Silence under formal witness obligation can incur guilt.</w:t>
            </w:r>
          </w:p>
        </w:tc>
      </w:tr>
      <w:tr>
        <w:tc>
          <w:tcPr>
            <w:tcW w:type="dxa" w:w="3561"/>
            <w:vAlign w:val="top"/>
          </w:tcPr>
          <w:p>
            <w:pPr>
              <w:spacing w:after="0"/>
            </w:pPr>
            <w:r>
              <w:rPr>
                <w:rFonts w:ascii="Times New Roman" w:hAnsi="Times New Roman"/>
                <w:sz w:val="14"/>
              </w:rPr>
              <w:t>Lev. 5:2–3</w:t>
            </w:r>
          </w:p>
        </w:tc>
        <w:tc>
          <w:tcPr>
            <w:tcW w:type="dxa" w:w="3561"/>
            <w:vAlign w:val="top"/>
          </w:tcPr>
          <w:p>
            <w:pPr>
              <w:spacing w:after="0"/>
            </w:pPr>
            <w:r>
              <w:rPr>
                <w:rFonts w:ascii="Times New Roman" w:hAnsi="Times New Roman"/>
                <w:sz w:val="14"/>
              </w:rPr>
              <w:t>uncleanness later known</w:t>
            </w:r>
          </w:p>
        </w:tc>
        <w:tc>
          <w:tcPr>
            <w:tcW w:type="dxa" w:w="3561"/>
            <w:vAlign w:val="top"/>
          </w:tcPr>
          <w:p>
            <w:pPr>
              <w:spacing w:after="0"/>
            </w:pPr>
            <w:r>
              <w:rPr>
                <w:rFonts w:ascii="Times New Roman" w:hAnsi="Times New Roman"/>
                <w:sz w:val="14"/>
              </w:rPr>
              <w:t>Initial unawareness does not erase required response after discovery.</w:t>
            </w:r>
          </w:p>
        </w:tc>
      </w:tr>
      <w:tr>
        <w:tc>
          <w:tcPr>
            <w:tcW w:type="dxa" w:w="3561"/>
            <w:vAlign w:val="top"/>
          </w:tcPr>
          <w:p>
            <w:pPr>
              <w:spacing w:after="0"/>
            </w:pPr>
            <w:r>
              <w:rPr>
                <w:rFonts w:ascii="Times New Roman" w:hAnsi="Times New Roman"/>
                <w:sz w:val="14"/>
              </w:rPr>
              <w:t>Lev. 5:4</w:t>
            </w:r>
          </w:p>
        </w:tc>
        <w:tc>
          <w:tcPr>
            <w:tcW w:type="dxa" w:w="3561"/>
            <w:vAlign w:val="top"/>
          </w:tcPr>
          <w:p>
            <w:pPr>
              <w:spacing w:after="0"/>
            </w:pPr>
            <w:r>
              <w:rPr>
                <w:rFonts w:ascii="Times New Roman" w:hAnsi="Times New Roman"/>
                <w:sz w:val="14"/>
              </w:rPr>
              <w:t>rash oath</w:t>
            </w:r>
          </w:p>
        </w:tc>
        <w:tc>
          <w:tcPr>
            <w:tcW w:type="dxa" w:w="3561"/>
            <w:vAlign w:val="top"/>
          </w:tcPr>
          <w:p>
            <w:pPr>
              <w:spacing w:after="0"/>
            </w:pPr>
            <w:r>
              <w:rPr>
                <w:rFonts w:ascii="Times New Roman" w:hAnsi="Times New Roman"/>
                <w:sz w:val="14"/>
              </w:rPr>
              <w:t>Careless lip-swearing concerning good or evil.</w:t>
            </w:r>
          </w:p>
        </w:tc>
      </w:tr>
      <w:tr>
        <w:tc>
          <w:tcPr>
            <w:tcW w:type="dxa" w:w="3561"/>
            <w:vAlign w:val="top"/>
          </w:tcPr>
          <w:p>
            <w:pPr>
              <w:spacing w:after="0"/>
            </w:pPr>
            <w:r>
              <w:rPr>
                <w:rFonts w:ascii="Times New Roman" w:hAnsi="Times New Roman"/>
                <w:sz w:val="14"/>
              </w:rPr>
              <w:t>Lev. 5:5</w:t>
            </w:r>
          </w:p>
        </w:tc>
        <w:tc>
          <w:tcPr>
            <w:tcW w:type="dxa" w:w="3561"/>
            <w:vAlign w:val="top"/>
          </w:tcPr>
          <w:p>
            <w:pPr>
              <w:spacing w:after="0"/>
            </w:pPr>
            <w:r>
              <w:rPr>
                <w:rFonts w:ascii="Times New Roman" w:hAnsi="Times New Roman"/>
                <w:sz w:val="14"/>
              </w:rPr>
              <w:t>confess / yadah</w:t>
            </w:r>
          </w:p>
        </w:tc>
        <w:tc>
          <w:tcPr>
            <w:tcW w:type="dxa" w:w="3561"/>
            <w:vAlign w:val="top"/>
          </w:tcPr>
          <w:p>
            <w:pPr>
              <w:spacing w:after="0"/>
            </w:pPr>
            <w:r>
              <w:rPr>
                <w:rFonts w:ascii="Times New Roman" w:hAnsi="Times New Roman"/>
                <w:sz w:val="14"/>
              </w:rPr>
              <w:t>Acknowledge the specific sin.</w:t>
            </w:r>
          </w:p>
        </w:tc>
      </w:tr>
      <w:tr>
        <w:tc>
          <w:tcPr>
            <w:tcW w:type="dxa" w:w="3561"/>
            <w:vAlign w:val="top"/>
          </w:tcPr>
          <w:p>
            <w:pPr>
              <w:spacing w:after="0"/>
            </w:pPr>
            <w:r>
              <w:rPr>
                <w:rFonts w:ascii="Times New Roman" w:hAnsi="Times New Roman"/>
                <w:sz w:val="14"/>
              </w:rPr>
              <w:t>Lev. 5:6</w:t>
            </w:r>
          </w:p>
        </w:tc>
        <w:tc>
          <w:tcPr>
            <w:tcW w:type="dxa" w:w="3561"/>
            <w:vAlign w:val="top"/>
          </w:tcPr>
          <w:p>
            <w:pPr>
              <w:spacing w:after="0"/>
            </w:pPr>
            <w:r>
              <w:rPr>
                <w:rFonts w:ascii="Times New Roman" w:hAnsi="Times New Roman"/>
                <w:sz w:val="14"/>
              </w:rPr>
              <w:t>guilt/sin vocabulary</w:t>
            </w:r>
          </w:p>
        </w:tc>
        <w:tc>
          <w:tcPr>
            <w:tcW w:type="dxa" w:w="3561"/>
            <w:vAlign w:val="top"/>
          </w:tcPr>
          <w:p>
            <w:pPr>
              <w:spacing w:after="0"/>
            </w:pPr>
            <w:r>
              <w:rPr>
                <w:rFonts w:ascii="Times New Roman" w:hAnsi="Times New Roman"/>
                <w:sz w:val="14"/>
              </w:rPr>
              <w:t>Specialised guilt-offering section begins clearly at v.14.</w:t>
            </w:r>
          </w:p>
        </w:tc>
      </w:tr>
      <w:tr>
        <w:tc>
          <w:tcPr>
            <w:tcW w:type="dxa" w:w="3561"/>
            <w:vAlign w:val="top"/>
          </w:tcPr>
          <w:p>
            <w:pPr>
              <w:spacing w:after="0"/>
            </w:pPr>
            <w:r>
              <w:rPr>
                <w:rFonts w:ascii="Times New Roman" w:hAnsi="Times New Roman"/>
                <w:sz w:val="14"/>
              </w:rPr>
              <w:t>Lev. 5:7</w:t>
            </w:r>
          </w:p>
        </w:tc>
        <w:tc>
          <w:tcPr>
            <w:tcW w:type="dxa" w:w="3561"/>
            <w:vAlign w:val="top"/>
          </w:tcPr>
          <w:p>
            <w:pPr>
              <w:spacing w:after="0"/>
            </w:pPr>
            <w:r>
              <w:rPr>
                <w:rFonts w:ascii="Times New Roman" w:hAnsi="Times New Roman"/>
                <w:sz w:val="14"/>
              </w:rPr>
              <w:t>hand cannot reach</w:t>
            </w:r>
          </w:p>
        </w:tc>
        <w:tc>
          <w:tcPr>
            <w:tcW w:type="dxa" w:w="3561"/>
            <w:vAlign w:val="top"/>
          </w:tcPr>
          <w:p>
            <w:pPr>
              <w:spacing w:after="0"/>
            </w:pPr>
            <w:r>
              <w:rPr>
                <w:rFonts w:ascii="Times New Roman" w:hAnsi="Times New Roman"/>
                <w:sz w:val="14"/>
              </w:rPr>
              <w:t>Hebrew idiom for inability to afford lamb.</w:t>
            </w:r>
          </w:p>
        </w:tc>
      </w:tr>
      <w:tr>
        <w:tc>
          <w:tcPr>
            <w:tcW w:type="dxa" w:w="3561"/>
            <w:vAlign w:val="top"/>
          </w:tcPr>
          <w:p>
            <w:pPr>
              <w:spacing w:after="0"/>
            </w:pPr>
            <w:r>
              <w:rPr>
                <w:rFonts w:ascii="Times New Roman" w:hAnsi="Times New Roman"/>
                <w:sz w:val="14"/>
              </w:rPr>
              <w:t>Lev. 5:11</w:t>
            </w:r>
          </w:p>
        </w:tc>
        <w:tc>
          <w:tcPr>
            <w:tcW w:type="dxa" w:w="3561"/>
            <w:vAlign w:val="top"/>
          </w:tcPr>
          <w:p>
            <w:pPr>
              <w:spacing w:after="0"/>
            </w:pPr>
            <w:r>
              <w:rPr>
                <w:rFonts w:ascii="Times New Roman" w:hAnsi="Times New Roman"/>
                <w:sz w:val="14"/>
              </w:rPr>
              <w:t>1/10 ephah flour</w:t>
            </w:r>
          </w:p>
        </w:tc>
        <w:tc>
          <w:tcPr>
            <w:tcW w:type="dxa" w:w="3561"/>
            <w:vAlign w:val="top"/>
          </w:tcPr>
          <w:p>
            <w:pPr>
              <w:spacing w:after="0"/>
            </w:pPr>
            <w:r>
              <w:rPr>
                <w:rFonts w:ascii="Times New Roman" w:hAnsi="Times New Roman"/>
                <w:sz w:val="14"/>
              </w:rPr>
              <w:t>Poorest sin-offering provision; no oil/frankincense.</w:t>
            </w:r>
          </w:p>
        </w:tc>
      </w:tr>
      <w:tr>
        <w:tc>
          <w:tcPr>
            <w:tcW w:type="dxa" w:w="3561"/>
            <w:vAlign w:val="top"/>
          </w:tcPr>
          <w:p>
            <w:pPr>
              <w:spacing w:after="0"/>
            </w:pPr>
            <w:r>
              <w:rPr>
                <w:rFonts w:ascii="Times New Roman" w:hAnsi="Times New Roman"/>
                <w:sz w:val="14"/>
              </w:rPr>
              <w:t>Lev. 5:15</w:t>
            </w:r>
          </w:p>
        </w:tc>
        <w:tc>
          <w:tcPr>
            <w:tcW w:type="dxa" w:w="3561"/>
            <w:vAlign w:val="top"/>
          </w:tcPr>
          <w:p>
            <w:pPr>
              <w:spacing w:after="0"/>
            </w:pPr>
            <w:r>
              <w:rPr>
                <w:rFonts w:ascii="Times New Roman" w:hAnsi="Times New Roman"/>
                <w:sz w:val="14"/>
              </w:rPr>
              <w:t>ma‘al</w:t>
            </w:r>
          </w:p>
        </w:tc>
        <w:tc>
          <w:tcPr>
            <w:tcW w:type="dxa" w:w="3561"/>
            <w:vAlign w:val="top"/>
          </w:tcPr>
          <w:p>
            <w:pPr>
              <w:spacing w:after="0"/>
            </w:pPr>
            <w:r>
              <w:rPr>
                <w:rFonts w:ascii="Times New Roman" w:hAnsi="Times New Roman"/>
                <w:sz w:val="14"/>
              </w:rPr>
              <w:t>Act of trespass/unfaithfulness in holy things.</w:t>
            </w:r>
          </w:p>
        </w:tc>
      </w:tr>
      <w:tr>
        <w:tc>
          <w:tcPr>
            <w:tcW w:type="dxa" w:w="3561"/>
            <w:vAlign w:val="top"/>
          </w:tcPr>
          <w:p>
            <w:pPr>
              <w:spacing w:after="0"/>
            </w:pPr>
            <w:r>
              <w:rPr>
                <w:rFonts w:ascii="Times New Roman" w:hAnsi="Times New Roman"/>
                <w:sz w:val="14"/>
              </w:rPr>
              <w:t>Lev. 5:15</w:t>
            </w:r>
          </w:p>
        </w:tc>
        <w:tc>
          <w:tcPr>
            <w:tcW w:type="dxa" w:w="3561"/>
            <w:vAlign w:val="top"/>
          </w:tcPr>
          <w:p>
            <w:pPr>
              <w:spacing w:after="0"/>
            </w:pPr>
            <w:r>
              <w:rPr>
                <w:rFonts w:ascii="Times New Roman" w:hAnsi="Times New Roman"/>
                <w:sz w:val="14"/>
              </w:rPr>
              <w:t>ram by sanctuary valuation</w:t>
            </w:r>
          </w:p>
        </w:tc>
        <w:tc>
          <w:tcPr>
            <w:tcW w:type="dxa" w:w="3561"/>
            <w:vAlign w:val="top"/>
          </w:tcPr>
          <w:p>
            <w:pPr>
              <w:spacing w:after="0"/>
            </w:pPr>
            <w:r>
              <w:rPr>
                <w:rFonts w:ascii="Times New Roman" w:hAnsi="Times New Roman"/>
                <w:sz w:val="14"/>
              </w:rPr>
              <w:t>Guilt offering includes assessed value.</w:t>
            </w:r>
          </w:p>
        </w:tc>
      </w:tr>
      <w:tr>
        <w:tc>
          <w:tcPr>
            <w:tcW w:type="dxa" w:w="3561"/>
            <w:vAlign w:val="top"/>
          </w:tcPr>
          <w:p>
            <w:pPr>
              <w:spacing w:after="0"/>
            </w:pPr>
            <w:r>
              <w:rPr>
                <w:rFonts w:ascii="Times New Roman" w:hAnsi="Times New Roman"/>
                <w:sz w:val="14"/>
              </w:rPr>
              <w:t>Lev. 5:16</w:t>
            </w:r>
          </w:p>
        </w:tc>
        <w:tc>
          <w:tcPr>
            <w:tcW w:type="dxa" w:w="3561"/>
            <w:vAlign w:val="top"/>
          </w:tcPr>
          <w:p>
            <w:pPr>
              <w:spacing w:after="0"/>
            </w:pPr>
            <w:r>
              <w:rPr>
                <w:rFonts w:ascii="Times New Roman" w:hAnsi="Times New Roman"/>
                <w:sz w:val="14"/>
              </w:rPr>
              <w:t>add a fifth</w:t>
            </w:r>
          </w:p>
        </w:tc>
        <w:tc>
          <w:tcPr>
            <w:tcW w:type="dxa" w:w="3561"/>
            <w:vAlign w:val="top"/>
          </w:tcPr>
          <w:p>
            <w:pPr>
              <w:spacing w:after="0"/>
            </w:pPr>
            <w:r>
              <w:rPr>
                <w:rFonts w:ascii="Times New Roman" w:hAnsi="Times New Roman"/>
                <w:sz w:val="14"/>
              </w:rPr>
              <w:t>Restitution plus 20 percent.</w:t>
            </w:r>
          </w:p>
        </w:tc>
      </w:tr>
      <w:tr>
        <w:tc>
          <w:tcPr>
            <w:tcW w:type="dxa" w:w="3561"/>
            <w:vAlign w:val="top"/>
          </w:tcPr>
          <w:p>
            <w:pPr>
              <w:spacing w:after="0"/>
            </w:pPr>
            <w:r>
              <w:rPr>
                <w:rFonts w:ascii="Times New Roman" w:hAnsi="Times New Roman"/>
                <w:sz w:val="14"/>
              </w:rPr>
              <w:t>Lev. 5:17</w:t>
            </w:r>
          </w:p>
        </w:tc>
        <w:tc>
          <w:tcPr>
            <w:tcW w:type="dxa" w:w="3561"/>
            <w:vAlign w:val="top"/>
          </w:tcPr>
          <w:p>
            <w:pPr>
              <w:spacing w:after="0"/>
            </w:pPr>
            <w:r>
              <w:rPr>
                <w:rFonts w:ascii="Times New Roman" w:hAnsi="Times New Roman"/>
                <w:sz w:val="14"/>
              </w:rPr>
              <w:t>guilty though unaware</w:t>
            </w:r>
          </w:p>
        </w:tc>
        <w:tc>
          <w:tcPr>
            <w:tcW w:type="dxa" w:w="3561"/>
            <w:vAlign w:val="top"/>
          </w:tcPr>
          <w:p>
            <w:pPr>
              <w:spacing w:after="0"/>
            </w:pPr>
            <w:r>
              <w:rPr>
                <w:rFonts w:ascii="Times New Roman" w:hAnsi="Times New Roman"/>
                <w:sz w:val="14"/>
              </w:rPr>
              <w:t>Objective breach exists without high-handed intent.</w:t>
            </w:r>
          </w:p>
        </w:tc>
      </w:tr>
      <w:tr>
        <w:tc>
          <w:tcPr>
            <w:tcW w:type="dxa" w:w="3561"/>
            <w:vAlign w:val="top"/>
          </w:tcPr>
          <w:p>
            <w:pPr>
              <w:spacing w:after="0"/>
            </w:pPr>
            <w:r>
              <w:rPr>
                <w:rFonts w:ascii="Times New Roman" w:hAnsi="Times New Roman"/>
                <w:sz w:val="14"/>
              </w:rPr>
              <w:t>1 John 1:9</w:t>
            </w:r>
          </w:p>
        </w:tc>
        <w:tc>
          <w:tcPr>
            <w:tcW w:type="dxa" w:w="3561"/>
            <w:vAlign w:val="top"/>
          </w:tcPr>
          <w:p>
            <w:pPr>
              <w:spacing w:after="0"/>
            </w:pPr>
            <w:r>
              <w:rPr>
                <w:rFonts w:ascii="Times New Roman" w:hAnsi="Times New Roman"/>
                <w:sz w:val="14"/>
              </w:rPr>
              <w:t>confession and forgiveness</w:t>
            </w:r>
          </w:p>
        </w:tc>
        <w:tc>
          <w:tcPr>
            <w:tcW w:type="dxa" w:w="3561"/>
            <w:vAlign w:val="top"/>
          </w:tcPr>
          <w:p>
            <w:pPr>
              <w:spacing w:after="0"/>
            </w:pPr>
            <w:r>
              <w:rPr>
                <w:rFonts w:ascii="Times New Roman" w:hAnsi="Times New Roman"/>
                <w:sz w:val="14"/>
              </w:rPr>
              <w:t>NT moral parallel.</w:t>
            </w:r>
          </w:p>
        </w:tc>
      </w:tr>
      <w:tr>
        <w:tc>
          <w:tcPr>
            <w:tcW w:type="dxa" w:w="3561"/>
            <w:vAlign w:val="top"/>
          </w:tcPr>
          <w:p>
            <w:pPr>
              <w:spacing w:after="0"/>
            </w:pPr>
            <w:r>
              <w:rPr>
                <w:rFonts w:ascii="Times New Roman" w:hAnsi="Times New Roman"/>
                <w:sz w:val="14"/>
              </w:rPr>
              <w:t>Luke 19:8</w:t>
            </w:r>
          </w:p>
        </w:tc>
        <w:tc>
          <w:tcPr>
            <w:tcW w:type="dxa" w:w="3561"/>
            <w:vAlign w:val="top"/>
          </w:tcPr>
          <w:p>
            <w:pPr>
              <w:spacing w:after="0"/>
            </w:pPr>
            <w:r>
              <w:rPr>
                <w:rFonts w:ascii="Times New Roman" w:hAnsi="Times New Roman"/>
                <w:sz w:val="14"/>
              </w:rPr>
              <w:t>restitution principle</w:t>
            </w:r>
          </w:p>
        </w:tc>
        <w:tc>
          <w:tcPr>
            <w:tcW w:type="dxa" w:w="3561"/>
            <w:vAlign w:val="top"/>
          </w:tcPr>
          <w:p>
            <w:pPr>
              <w:spacing w:after="0"/>
            </w:pPr>
            <w:r>
              <w:rPr>
                <w:rFonts w:ascii="Times New Roman" w:hAnsi="Times New Roman"/>
                <w:sz w:val="14"/>
              </w:rPr>
              <w:t>Repentance may include practical repair of fraud.</w:t>
            </w:r>
          </w:p>
        </w:tc>
      </w:tr>
    </w:tbl>
    <w:p>
      <w:pPr>
        <w:pStyle w:val="Heading1"/>
      </w:pPr>
      <w:r>
        <w:t>RESIDUAL UNCERTAINTIES</w:t>
      </w:r>
    </w:p>
    <w:p>
      <w:pPr/>
      <w:r>
        <w:rPr>
          <w:i w:val="0"/>
        </w:rPr>
        <w:t>The transition between broad “guilt” vocabulary in verses 1–13 and the technical guilt/trespass offering in verses 14–19 should not be flattened. Ancient sanctuary-shekel valuation details are not fully reconstructable in modern currency. Mansfield’s restitution principle is secure; later applications should preserve proportional justice rather than mechanically importing Mosaic percentages into every modern case.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