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LEVITICUS 6</w:t>
      </w:r>
    </w:p>
    <w:p>
      <w:pPr>
        <w:pStyle w:val="Subtitle"/>
      </w:pPr>
      <w:r>
        <w:t>RESTITUTION TO THE NEIGHBOUR • THE LAW OF THE BURNT OFFERING • FIRE NEVER TO GO OUT • PRIESTLY MEAL OFFERING • THE LAW OF THE SIN OFFERING • HOLY CONTACT</w:t>
      </w:r>
    </w:p>
    <w:p>
      <w:pPr/>
      <w:r>
        <w:rPr>
          <w:i/>
        </w:rPr>
        <w:t>H. P. Mansfield Bible notes — checked and arranged in verse-by-verse Expositor style</w:t>
      </w:r>
    </w:p>
    <w:p>
      <w:pPr/>
      <w:r>
        <w:rPr>
          <w:i w:val="0"/>
        </w:rPr>
        <w:t>Source: HPB 02-Gen42-Lev11.pdf, principally Leviticus 6 HPB pages</w:t>
      </w:r>
    </w:p>
    <w:p>
      <w:pPr>
        <w:pStyle w:val="Heading1"/>
      </w:pPr>
      <w:r>
        <w:t>CHAPTER OVERVIEW</w:t>
      </w:r>
    </w:p>
    <w:p>
      <w:pPr/>
      <w:r>
        <w:rPr>
          <w:i w:val="0"/>
        </w:rPr>
        <w:t>Leviticus 6 completes the guilt-offering cases involving wrong against a neighbour, then turns to the priestly “law” of the offerings. Repentance is shown in restitution; worship is shown in continual altar service; holiness governs even clothing, vessels and food.</w:t>
      </w:r>
    </w:p>
    <w:p>
      <w:pPr/>
      <w:r>
        <w:rPr>
          <w:i w:val="0"/>
        </w:rPr>
        <w:t>The chapter’s famous command—“the fire shall ever be burning upon the altar; it shall never go out”—provides Mansfield with a strong devotional image of sustained dedication. The literal requirement is the continually maintained altar fire.</w:t>
      </w:r>
    </w:p>
    <w:p>
      <w:pPr>
        <w:pStyle w:val="Heading1"/>
      </w:pPr>
      <w:r>
        <w:t>WRONG AGAINST A NEIGHBOUR — LEVITICUS 6:1–7</w:t>
      </w:r>
    </w:p>
    <w:p>
      <w:pPr>
        <w:pStyle w:val="Heading2"/>
      </w:pPr>
      <w:r>
        <w:t>Leviticus 6:1–5 — restitution before the guilt offering</w:t>
      </w:r>
    </w:p>
    <w:p>
      <w:pPr/>
      <w:r>
        <w:rPr>
          <w:i w:val="0"/>
        </w:rPr>
        <w:t>Fraud involving a deposit, pledge, robbery, oppression/extortion, found property or false oath is called ma‘al against Yahweh because wrong against the neighbour is also covenant unfaithfulness.</w:t>
      </w:r>
    </w:p>
    <w:p>
      <w:pPr/>
      <w:r>
        <w:rPr>
          <w:i w:val="0"/>
        </w:rPr>
        <w:t>The offender restores the principal in full and adds one fifth, giving it to the person wronged on the day the guilt is acknowledged. Repentance therefore has a measurable social dimension.</w:t>
      </w:r>
    </w:p>
    <w:p>
      <w:pPr>
        <w:pStyle w:val="Heading2"/>
      </w:pPr>
      <w:r>
        <w:t>Leviticus 6:6–7 — ram, atonement and forgiveness</w:t>
      </w:r>
    </w:p>
    <w:p>
      <w:pPr/>
      <w:r>
        <w:rPr>
          <w:i w:val="0"/>
        </w:rPr>
        <w:t>A ram without blemish, valued for the guilt offering, is brought to the priest. The priest makes atonement and forgiveness is promised. Restitution and sacrifice are complementary, not alternatives.</w:t>
      </w:r>
    </w:p>
    <w:p>
      <w:pPr>
        <w:pStyle w:val="Heading1"/>
      </w:pPr>
      <w:r>
        <w:t>THE BURNT OFFERING AND CONTINUAL FIRE — LEVITICUS 6:8–13</w:t>
      </w:r>
    </w:p>
    <w:p>
      <w:pPr>
        <w:pStyle w:val="Heading2"/>
      </w:pPr>
      <w:r>
        <w:t>Leviticus 6:8–11 — altar overnight; ashes handled reverently</w:t>
      </w:r>
    </w:p>
    <w:p>
      <w:pPr/>
      <w:r>
        <w:rPr>
          <w:i w:val="0"/>
        </w:rPr>
        <w:t>The burnt offering remains on the altar hearth through the night. The priest wears linen garments to remove the ashes beside the altar, then changes garments before carrying them outside the camp to a clean place.</w:t>
      </w:r>
    </w:p>
    <w:p>
      <w:pPr/>
      <w:r>
        <w:rPr>
          <w:i w:val="0"/>
        </w:rPr>
        <w:t>Even residue from holy sacrifice is handled in ordered holiness; ordinary work clothes and sanctuary garments are not treated as interchangeable.</w:t>
      </w:r>
    </w:p>
    <w:p>
      <w:pPr>
        <w:pStyle w:val="Heading2"/>
      </w:pPr>
      <w:r>
        <w:t>Leviticus 6:12–13 — “it shall never go out”</w:t>
      </w:r>
    </w:p>
    <w:p>
      <w:pPr/>
      <w:r>
        <w:rPr>
          <w:i w:val="0"/>
        </w:rPr>
        <w:t>Fresh wood is laid on the altar morning by morning, and the priest arranges the burnt offering and peace-offering fat upon it. The fire is to be kept burning continually and never extinguished.</w:t>
      </w:r>
    </w:p>
    <w:p>
      <w:pPr/>
      <w:r>
        <w:rPr>
          <w:i w:val="0"/>
        </w:rPr>
        <w:t>Mansfield’s application to sustained devotion is apt as typology: consecration requires daily renewal rather than occasional enthusiasm.</w:t>
      </w:r>
    </w:p>
    <w:p>
      <w:pPr>
        <w:pStyle w:val="Heading1"/>
      </w:pPr>
      <w:r>
        <w:t>THE LAW OF THE MEAL OFFERING — LEVITICUS 6:14–23</w:t>
      </w:r>
    </w:p>
    <w:p>
      <w:pPr>
        <w:pStyle w:val="Heading2"/>
      </w:pPr>
      <w:r>
        <w:t>Leviticus 6:14–18 — most holy priestly food</w:t>
      </w:r>
    </w:p>
    <w:p>
      <w:pPr/>
      <w:r>
        <w:rPr>
          <w:i w:val="0"/>
        </w:rPr>
        <w:t>The meal offering is presented before the altar; a memorial portion is burned and the remainder eaten unleavened by Aaron’s male descendants in a holy place. It is qodesh qadashim, most holy.</w:t>
      </w:r>
    </w:p>
    <w:p>
      <w:pPr/>
      <w:r>
        <w:rPr>
          <w:i w:val="0"/>
        </w:rPr>
        <w:t>“Whatsoever toucheth them shall be holy” means contact draws the person/object into the offering’s holy status and attendant restrictions; it should not be read as magical transfer of moral righteousness.</w:t>
      </w:r>
    </w:p>
    <w:p>
      <w:pPr>
        <w:pStyle w:val="Heading2"/>
      </w:pPr>
      <w:r>
        <w:t>Leviticus 6:19–23 — priest’s own offering wholly burned</w:t>
      </w:r>
    </w:p>
    <w:p>
      <w:pPr/>
      <w:r>
        <w:rPr>
          <w:i w:val="0"/>
        </w:rPr>
        <w:t>On the day of anointing, the priest presents a regular fine-flour offering, half morning and half evening, prepared with oil. Unlike the ordinary priestly share, a priest’s own meal offering is wholly burned and not eaten.</w:t>
      </w:r>
    </w:p>
    <w:p>
      <w:pPr/>
      <w:r>
        <w:rPr>
          <w:i w:val="0"/>
        </w:rPr>
        <w:t>Those who minister do not turn their own consecratory offering into personal provision.</w:t>
      </w:r>
    </w:p>
    <w:p>
      <w:pPr>
        <w:pStyle w:val="Heading1"/>
      </w:pPr>
      <w:r>
        <w:t>THE LAW OF THE SIN OFFERING — LEVITICUS 6:24–30</w:t>
      </w:r>
    </w:p>
    <w:p>
      <w:pPr>
        <w:pStyle w:val="Heading2"/>
      </w:pPr>
      <w:r>
        <w:t>Leviticus 6:24–26 — most holy and eaten in holy place</w:t>
      </w:r>
    </w:p>
    <w:p>
      <w:pPr/>
      <w:r>
        <w:rPr>
          <w:i w:val="0"/>
        </w:rPr>
        <w:t>The sin/purification offering is killed where the burnt offering is killed and is most holy. In cases where its blood is not taken into the sanctuary, the officiating priest eats the flesh in the court/Tent holy place.</w:t>
      </w:r>
    </w:p>
    <w:p>
      <w:pPr>
        <w:pStyle w:val="Heading2"/>
      </w:pPr>
      <w:r>
        <w:t>Leviticus 6:27–28 — holy contact affects garments and vessels</w:t>
      </w:r>
    </w:p>
    <w:p>
      <w:pPr/>
      <w:r>
        <w:rPr>
          <w:i w:val="0"/>
        </w:rPr>
        <w:t>Anything contacting the sacrificial flesh comes under holy regulation. A garment splashed with blood is washed in a holy place; an earthen vessel in which the meat is boiled is broken, while a bronze/copper vessel is scoured and rinsed.</w:t>
      </w:r>
    </w:p>
    <w:p>
      <w:pPr/>
      <w:r>
        <w:rPr>
          <w:i w:val="0"/>
        </w:rPr>
        <w:t>The distinction reflects porous earthenware versus cleanable metal as well as ritual holiness; it should not be turned into a mystical property of pottery.</w:t>
      </w:r>
    </w:p>
    <w:p>
      <w:pPr>
        <w:pStyle w:val="Heading2"/>
      </w:pPr>
      <w:r>
        <w:t>Leviticus 6:29–30 — blood brought inside means flesh burned</w:t>
      </w:r>
    </w:p>
    <w:p>
      <w:pPr/>
      <w:r>
        <w:rPr>
          <w:i w:val="0"/>
        </w:rPr>
        <w:t>Priestly males may eat eligible sin offerings, but any sin offering whose blood is brought into the Tent to make atonement in the sanctuary must not be eaten; it is burned with fire. Leviticus 4 supplies the priest/congregation examples of this inner-blood procedure.</w:t>
      </w:r>
    </w:p>
    <w:p>
      <w:pPr>
        <w:pStyle w:val="Heading1"/>
      </w:pPr>
      <w:r>
        <w:t>PRINCIPAL THEMES</w:t>
      </w:r>
    </w:p>
    <w:p>
      <w:pPr>
        <w:ind w:left="259" w:hanging="202"/>
      </w:pPr>
      <w:r>
        <w:rPr>
          <w:b/>
        </w:rPr>
        <w:t xml:space="preserve">• </w:t>
      </w:r>
      <w:r>
        <w:t>Repentance for measurable fraud includes restitution plus a fifth.</w:t>
      </w:r>
    </w:p>
    <w:p>
      <w:pPr>
        <w:ind w:left="259" w:hanging="202"/>
      </w:pPr>
      <w:r>
        <w:rPr>
          <w:b/>
        </w:rPr>
        <w:t xml:space="preserve">• </w:t>
      </w:r>
      <w:r>
        <w:t>Wrong against a neighbour is also covenant unfaithfulness toward Yahweh.</w:t>
      </w:r>
    </w:p>
    <w:p>
      <w:pPr>
        <w:ind w:left="259" w:hanging="202"/>
      </w:pPr>
      <w:r>
        <w:rPr>
          <w:b/>
        </w:rPr>
        <w:t xml:space="preserve">• </w:t>
      </w:r>
      <w:r>
        <w:t>The altar fire requires continual daily maintenance.</w:t>
      </w:r>
    </w:p>
    <w:p>
      <w:pPr>
        <w:ind w:left="259" w:hanging="202"/>
      </w:pPr>
      <w:r>
        <w:rPr>
          <w:b/>
        </w:rPr>
        <w:t xml:space="preserve">• </w:t>
      </w:r>
      <w:r>
        <w:t>Priests themselves remain subject to distinct rules for holy food and clothing.</w:t>
      </w:r>
    </w:p>
    <w:p>
      <w:pPr>
        <w:ind w:left="259" w:hanging="202"/>
      </w:pPr>
      <w:r>
        <w:rPr>
          <w:b/>
        </w:rPr>
        <w:t xml:space="preserve">• </w:t>
      </w:r>
      <w:r>
        <w:t>“Most holy” contact creates ritual obligations rather than magical righteousness.</w:t>
      </w:r>
    </w:p>
    <w:p>
      <w:pPr>
        <w:ind w:left="259" w:hanging="202"/>
      </w:pPr>
      <w:r>
        <w:rPr>
          <w:b/>
        </w:rPr>
        <w:t xml:space="preserve">• </w:t>
      </w:r>
      <w:r>
        <w:t>Earthen and metal vessels are treated differently after contact with holy flesh.</w:t>
      </w:r>
    </w:p>
    <w:p>
      <w:pPr>
        <w:ind w:left="259" w:hanging="202"/>
      </w:pPr>
      <w:r>
        <w:rPr>
          <w:b/>
        </w:rPr>
        <w:t xml:space="preserve">• </w:t>
      </w:r>
      <w:r>
        <w:t>Sin offerings whose blood enters the sanctuary are burned rather than eaten.</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6"/>
              </w:rPr>
              <w:t>Location</w:t>
            </w:r>
          </w:p>
        </w:tc>
        <w:tc>
          <w:tcPr>
            <w:tcW w:type="dxa" w:w="3561"/>
          </w:tcPr>
          <w:p>
            <w:r>
              <w:rPr>
                <w:rFonts w:ascii="Arial" w:hAnsi="Arial"/>
                <w:b/>
                <w:sz w:val="16"/>
              </w:rPr>
              <w:t>Checked / corrected reading</w:t>
            </w:r>
          </w:p>
        </w:tc>
        <w:tc>
          <w:tcPr>
            <w:tcW w:type="dxa" w:w="3561"/>
          </w:tcPr>
          <w:p>
            <w:r>
              <w:rPr>
                <w:rFonts w:ascii="Arial" w:hAnsi="Arial"/>
                <w:b/>
                <w:sz w:val="16"/>
              </w:rPr>
              <w:t>Basis</w:t>
            </w:r>
          </w:p>
        </w:tc>
      </w:tr>
      <w:tr>
        <w:tc>
          <w:tcPr>
            <w:tcW w:type="dxa" w:w="3561"/>
            <w:vAlign w:val="top"/>
          </w:tcPr>
          <w:p>
            <w:pPr>
              <w:spacing w:after="0"/>
            </w:pPr>
            <w:r>
              <w:rPr>
                <w:rFonts w:ascii="Times New Roman" w:hAnsi="Times New Roman"/>
                <w:sz w:val="14"/>
              </w:rPr>
              <w:t>Lev. 6:2–4</w:t>
            </w:r>
          </w:p>
        </w:tc>
        <w:tc>
          <w:tcPr>
            <w:tcW w:type="dxa" w:w="3561"/>
            <w:vAlign w:val="top"/>
          </w:tcPr>
          <w:p>
            <w:pPr>
              <w:spacing w:after="0"/>
            </w:pPr>
            <w:r>
              <w:rPr>
                <w:rFonts w:ascii="Times New Roman" w:hAnsi="Times New Roman"/>
                <w:sz w:val="14"/>
              </w:rPr>
              <w:t>ma‘al against Yahweh</w:t>
            </w:r>
          </w:p>
        </w:tc>
        <w:tc>
          <w:tcPr>
            <w:tcW w:type="dxa" w:w="3561"/>
            <w:vAlign w:val="top"/>
          </w:tcPr>
          <w:p>
            <w:pPr>
              <w:spacing w:after="0"/>
            </w:pPr>
            <w:r>
              <w:rPr>
                <w:rFonts w:ascii="Times New Roman" w:hAnsi="Times New Roman"/>
                <w:sz w:val="14"/>
              </w:rPr>
              <w:t>Neighbour fraud is also covenant trespass.</w:t>
            </w:r>
          </w:p>
        </w:tc>
      </w:tr>
      <w:tr>
        <w:tc>
          <w:tcPr>
            <w:tcW w:type="dxa" w:w="3561"/>
            <w:vAlign w:val="top"/>
          </w:tcPr>
          <w:p>
            <w:pPr>
              <w:spacing w:after="0"/>
            </w:pPr>
            <w:r>
              <w:rPr>
                <w:rFonts w:ascii="Times New Roman" w:hAnsi="Times New Roman"/>
                <w:sz w:val="14"/>
              </w:rPr>
              <w:t>Lev. 6:5</w:t>
            </w:r>
          </w:p>
        </w:tc>
        <w:tc>
          <w:tcPr>
            <w:tcW w:type="dxa" w:w="3561"/>
            <w:vAlign w:val="top"/>
          </w:tcPr>
          <w:p>
            <w:pPr>
              <w:spacing w:after="0"/>
            </w:pPr>
            <w:r>
              <w:rPr>
                <w:rFonts w:ascii="Times New Roman" w:hAnsi="Times New Roman"/>
                <w:sz w:val="14"/>
              </w:rPr>
              <w:t>restore + fifth</w:t>
            </w:r>
          </w:p>
        </w:tc>
        <w:tc>
          <w:tcPr>
            <w:tcW w:type="dxa" w:w="3561"/>
            <w:vAlign w:val="top"/>
          </w:tcPr>
          <w:p>
            <w:pPr>
              <w:spacing w:after="0"/>
            </w:pPr>
            <w:r>
              <w:rPr>
                <w:rFonts w:ascii="Times New Roman" w:hAnsi="Times New Roman"/>
                <w:sz w:val="14"/>
              </w:rPr>
              <w:t>Principal plus 20 percent to injured party.</w:t>
            </w:r>
          </w:p>
        </w:tc>
      </w:tr>
      <w:tr>
        <w:tc>
          <w:tcPr>
            <w:tcW w:type="dxa" w:w="3561"/>
            <w:vAlign w:val="top"/>
          </w:tcPr>
          <w:p>
            <w:pPr>
              <w:spacing w:after="0"/>
            </w:pPr>
            <w:r>
              <w:rPr>
                <w:rFonts w:ascii="Times New Roman" w:hAnsi="Times New Roman"/>
                <w:sz w:val="14"/>
              </w:rPr>
              <w:t>Lev. 6:6–7</w:t>
            </w:r>
          </w:p>
        </w:tc>
        <w:tc>
          <w:tcPr>
            <w:tcW w:type="dxa" w:w="3561"/>
            <w:vAlign w:val="top"/>
          </w:tcPr>
          <w:p>
            <w:pPr>
              <w:spacing w:after="0"/>
            </w:pPr>
            <w:r>
              <w:rPr>
                <w:rFonts w:ascii="Times New Roman" w:hAnsi="Times New Roman"/>
                <w:sz w:val="14"/>
              </w:rPr>
              <w:t>ram + atonement</w:t>
            </w:r>
          </w:p>
        </w:tc>
        <w:tc>
          <w:tcPr>
            <w:tcW w:type="dxa" w:w="3561"/>
            <w:vAlign w:val="top"/>
          </w:tcPr>
          <w:p>
            <w:pPr>
              <w:spacing w:after="0"/>
            </w:pPr>
            <w:r>
              <w:rPr>
                <w:rFonts w:ascii="Times New Roman" w:hAnsi="Times New Roman"/>
                <w:sz w:val="14"/>
              </w:rPr>
              <w:t>Restitution does not replace sacrifice.</w:t>
            </w:r>
          </w:p>
        </w:tc>
      </w:tr>
      <w:tr>
        <w:tc>
          <w:tcPr>
            <w:tcW w:type="dxa" w:w="3561"/>
            <w:vAlign w:val="top"/>
          </w:tcPr>
          <w:p>
            <w:pPr>
              <w:spacing w:after="0"/>
            </w:pPr>
            <w:r>
              <w:rPr>
                <w:rFonts w:ascii="Times New Roman" w:hAnsi="Times New Roman"/>
                <w:sz w:val="14"/>
              </w:rPr>
              <w:t>Lev. 6:9</w:t>
            </w:r>
          </w:p>
        </w:tc>
        <w:tc>
          <w:tcPr>
            <w:tcW w:type="dxa" w:w="3561"/>
            <w:vAlign w:val="top"/>
          </w:tcPr>
          <w:p>
            <w:pPr>
              <w:spacing w:after="0"/>
            </w:pPr>
            <w:r>
              <w:rPr>
                <w:rFonts w:ascii="Times New Roman" w:hAnsi="Times New Roman"/>
                <w:sz w:val="14"/>
              </w:rPr>
              <w:t>altar hearth overnight</w:t>
            </w:r>
          </w:p>
        </w:tc>
        <w:tc>
          <w:tcPr>
            <w:tcW w:type="dxa" w:w="3561"/>
            <w:vAlign w:val="top"/>
          </w:tcPr>
          <w:p>
            <w:pPr>
              <w:spacing w:after="0"/>
            </w:pPr>
            <w:r>
              <w:rPr>
                <w:rFonts w:ascii="Times New Roman" w:hAnsi="Times New Roman"/>
                <w:sz w:val="14"/>
              </w:rPr>
              <w:t>Burnt offering remains through night.</w:t>
            </w:r>
          </w:p>
        </w:tc>
      </w:tr>
      <w:tr>
        <w:tc>
          <w:tcPr>
            <w:tcW w:type="dxa" w:w="3561"/>
            <w:vAlign w:val="top"/>
          </w:tcPr>
          <w:p>
            <w:pPr>
              <w:spacing w:after="0"/>
            </w:pPr>
            <w:r>
              <w:rPr>
                <w:rFonts w:ascii="Times New Roman" w:hAnsi="Times New Roman"/>
                <w:sz w:val="14"/>
              </w:rPr>
              <w:t>Lev. 6:10–11</w:t>
            </w:r>
          </w:p>
        </w:tc>
        <w:tc>
          <w:tcPr>
            <w:tcW w:type="dxa" w:w="3561"/>
            <w:vAlign w:val="top"/>
          </w:tcPr>
          <w:p>
            <w:pPr>
              <w:spacing w:after="0"/>
            </w:pPr>
            <w:r>
              <w:rPr>
                <w:rFonts w:ascii="Times New Roman" w:hAnsi="Times New Roman"/>
                <w:sz w:val="14"/>
              </w:rPr>
              <w:t>garment change</w:t>
            </w:r>
          </w:p>
        </w:tc>
        <w:tc>
          <w:tcPr>
            <w:tcW w:type="dxa" w:w="3561"/>
            <w:vAlign w:val="top"/>
          </w:tcPr>
          <w:p>
            <w:pPr>
              <w:spacing w:after="0"/>
            </w:pPr>
            <w:r>
              <w:rPr>
                <w:rFonts w:ascii="Times New Roman" w:hAnsi="Times New Roman"/>
                <w:sz w:val="14"/>
              </w:rPr>
              <w:t>Holy ash removal distinguished from outside-camp carrying.</w:t>
            </w:r>
          </w:p>
        </w:tc>
      </w:tr>
      <w:tr>
        <w:tc>
          <w:tcPr>
            <w:tcW w:type="dxa" w:w="3561"/>
            <w:vAlign w:val="top"/>
          </w:tcPr>
          <w:p>
            <w:pPr>
              <w:spacing w:after="0"/>
            </w:pPr>
            <w:r>
              <w:rPr>
                <w:rFonts w:ascii="Times New Roman" w:hAnsi="Times New Roman"/>
                <w:sz w:val="14"/>
              </w:rPr>
              <w:t>Lev. 6:12–13</w:t>
            </w:r>
          </w:p>
        </w:tc>
        <w:tc>
          <w:tcPr>
            <w:tcW w:type="dxa" w:w="3561"/>
            <w:vAlign w:val="top"/>
          </w:tcPr>
          <w:p>
            <w:pPr>
              <w:spacing w:after="0"/>
            </w:pPr>
            <w:r>
              <w:rPr>
                <w:rFonts w:ascii="Times New Roman" w:hAnsi="Times New Roman"/>
                <w:sz w:val="14"/>
              </w:rPr>
              <w:t>continual fire</w:t>
            </w:r>
          </w:p>
        </w:tc>
        <w:tc>
          <w:tcPr>
            <w:tcW w:type="dxa" w:w="3561"/>
            <w:vAlign w:val="top"/>
          </w:tcPr>
          <w:p>
            <w:pPr>
              <w:spacing w:after="0"/>
            </w:pPr>
            <w:r>
              <w:rPr>
                <w:rFonts w:ascii="Times New Roman" w:hAnsi="Times New Roman"/>
                <w:sz w:val="14"/>
              </w:rPr>
              <w:t>Fresh wood daily; fire never extinguished.</w:t>
            </w:r>
          </w:p>
        </w:tc>
      </w:tr>
      <w:tr>
        <w:tc>
          <w:tcPr>
            <w:tcW w:type="dxa" w:w="3561"/>
            <w:vAlign w:val="top"/>
          </w:tcPr>
          <w:p>
            <w:pPr>
              <w:spacing w:after="0"/>
            </w:pPr>
            <w:r>
              <w:rPr>
                <w:rFonts w:ascii="Times New Roman" w:hAnsi="Times New Roman"/>
                <w:sz w:val="14"/>
              </w:rPr>
              <w:t>Lev. 6:16</w:t>
            </w:r>
          </w:p>
        </w:tc>
        <w:tc>
          <w:tcPr>
            <w:tcW w:type="dxa" w:w="3561"/>
            <w:vAlign w:val="top"/>
          </w:tcPr>
          <w:p>
            <w:pPr>
              <w:spacing w:after="0"/>
            </w:pPr>
            <w:r>
              <w:rPr>
                <w:rFonts w:ascii="Times New Roman" w:hAnsi="Times New Roman"/>
                <w:sz w:val="14"/>
              </w:rPr>
              <w:t>unleavened priestly portion</w:t>
            </w:r>
          </w:p>
        </w:tc>
        <w:tc>
          <w:tcPr>
            <w:tcW w:type="dxa" w:w="3561"/>
            <w:vAlign w:val="top"/>
          </w:tcPr>
          <w:p>
            <w:pPr>
              <w:spacing w:after="0"/>
            </w:pPr>
            <w:r>
              <w:rPr>
                <w:rFonts w:ascii="Times New Roman" w:hAnsi="Times New Roman"/>
                <w:sz w:val="14"/>
              </w:rPr>
              <w:t>Meal offering eaten in holy place.</w:t>
            </w:r>
          </w:p>
        </w:tc>
      </w:tr>
      <w:tr>
        <w:tc>
          <w:tcPr>
            <w:tcW w:type="dxa" w:w="3561"/>
            <w:vAlign w:val="top"/>
          </w:tcPr>
          <w:p>
            <w:pPr>
              <w:spacing w:after="0"/>
            </w:pPr>
            <w:r>
              <w:rPr>
                <w:rFonts w:ascii="Times New Roman" w:hAnsi="Times New Roman"/>
                <w:sz w:val="14"/>
              </w:rPr>
              <w:t>Lev. 6:18</w:t>
            </w:r>
          </w:p>
        </w:tc>
        <w:tc>
          <w:tcPr>
            <w:tcW w:type="dxa" w:w="3561"/>
            <w:vAlign w:val="top"/>
          </w:tcPr>
          <w:p>
            <w:pPr>
              <w:spacing w:after="0"/>
            </w:pPr>
            <w:r>
              <w:rPr>
                <w:rFonts w:ascii="Times New Roman" w:hAnsi="Times New Roman"/>
                <w:sz w:val="14"/>
              </w:rPr>
              <w:t>contact becomes holy</w:t>
            </w:r>
          </w:p>
        </w:tc>
        <w:tc>
          <w:tcPr>
            <w:tcW w:type="dxa" w:w="3561"/>
            <w:vAlign w:val="top"/>
          </w:tcPr>
          <w:p>
            <w:pPr>
              <w:spacing w:after="0"/>
            </w:pPr>
            <w:r>
              <w:rPr>
                <w:rFonts w:ascii="Times New Roman" w:hAnsi="Times New Roman"/>
                <w:sz w:val="14"/>
              </w:rPr>
              <w:t>Ritual status/obligation, not magical moral transformation.</w:t>
            </w:r>
          </w:p>
        </w:tc>
      </w:tr>
      <w:tr>
        <w:tc>
          <w:tcPr>
            <w:tcW w:type="dxa" w:w="3561"/>
            <w:vAlign w:val="top"/>
          </w:tcPr>
          <w:p>
            <w:pPr>
              <w:spacing w:after="0"/>
            </w:pPr>
            <w:r>
              <w:rPr>
                <w:rFonts w:ascii="Times New Roman" w:hAnsi="Times New Roman"/>
                <w:sz w:val="14"/>
              </w:rPr>
              <w:t>Lev. 6:20</w:t>
            </w:r>
          </w:p>
        </w:tc>
        <w:tc>
          <w:tcPr>
            <w:tcW w:type="dxa" w:w="3561"/>
            <w:vAlign w:val="top"/>
          </w:tcPr>
          <w:p>
            <w:pPr>
              <w:spacing w:after="0"/>
            </w:pPr>
            <w:r>
              <w:rPr>
                <w:rFonts w:ascii="Times New Roman" w:hAnsi="Times New Roman"/>
                <w:sz w:val="14"/>
              </w:rPr>
              <w:t>half morning / half evening</w:t>
            </w:r>
          </w:p>
        </w:tc>
        <w:tc>
          <w:tcPr>
            <w:tcW w:type="dxa" w:w="3561"/>
            <w:vAlign w:val="top"/>
          </w:tcPr>
          <w:p>
            <w:pPr>
              <w:spacing w:after="0"/>
            </w:pPr>
            <w:r>
              <w:rPr>
                <w:rFonts w:ascii="Times New Roman" w:hAnsi="Times New Roman"/>
                <w:sz w:val="14"/>
              </w:rPr>
              <w:t>Priest’s consecratory grain offering.</w:t>
            </w:r>
          </w:p>
        </w:tc>
      </w:tr>
      <w:tr>
        <w:tc>
          <w:tcPr>
            <w:tcW w:type="dxa" w:w="3561"/>
            <w:vAlign w:val="top"/>
          </w:tcPr>
          <w:p>
            <w:pPr>
              <w:spacing w:after="0"/>
            </w:pPr>
            <w:r>
              <w:rPr>
                <w:rFonts w:ascii="Times New Roman" w:hAnsi="Times New Roman"/>
                <w:sz w:val="14"/>
              </w:rPr>
              <w:t>Lev. 6:23</w:t>
            </w:r>
          </w:p>
        </w:tc>
        <w:tc>
          <w:tcPr>
            <w:tcW w:type="dxa" w:w="3561"/>
            <w:vAlign w:val="top"/>
          </w:tcPr>
          <w:p>
            <w:pPr>
              <w:spacing w:after="0"/>
            </w:pPr>
            <w:r>
              <w:rPr>
                <w:rFonts w:ascii="Times New Roman" w:hAnsi="Times New Roman"/>
                <w:sz w:val="14"/>
              </w:rPr>
              <w:t>priest’s offering wholly burned</w:t>
            </w:r>
          </w:p>
        </w:tc>
        <w:tc>
          <w:tcPr>
            <w:tcW w:type="dxa" w:w="3561"/>
            <w:vAlign w:val="top"/>
          </w:tcPr>
          <w:p>
            <w:pPr>
              <w:spacing w:after="0"/>
            </w:pPr>
            <w:r>
              <w:rPr>
                <w:rFonts w:ascii="Times New Roman" w:hAnsi="Times New Roman"/>
                <w:sz w:val="14"/>
              </w:rPr>
              <w:t>Not eaten.</w:t>
            </w:r>
          </w:p>
        </w:tc>
      </w:tr>
      <w:tr>
        <w:tc>
          <w:tcPr>
            <w:tcW w:type="dxa" w:w="3561"/>
            <w:vAlign w:val="top"/>
          </w:tcPr>
          <w:p>
            <w:pPr>
              <w:spacing w:after="0"/>
            </w:pPr>
            <w:r>
              <w:rPr>
                <w:rFonts w:ascii="Times New Roman" w:hAnsi="Times New Roman"/>
                <w:sz w:val="14"/>
              </w:rPr>
              <w:t>Lev. 6:25</w:t>
            </w:r>
          </w:p>
        </w:tc>
        <w:tc>
          <w:tcPr>
            <w:tcW w:type="dxa" w:w="3561"/>
            <w:vAlign w:val="top"/>
          </w:tcPr>
          <w:p>
            <w:pPr>
              <w:spacing w:after="0"/>
            </w:pPr>
            <w:r>
              <w:rPr>
                <w:rFonts w:ascii="Times New Roman" w:hAnsi="Times New Roman"/>
                <w:sz w:val="14"/>
              </w:rPr>
              <w:t>sin offering most holy</w:t>
            </w:r>
          </w:p>
        </w:tc>
        <w:tc>
          <w:tcPr>
            <w:tcW w:type="dxa" w:w="3561"/>
            <w:vAlign w:val="top"/>
          </w:tcPr>
          <w:p>
            <w:pPr>
              <w:spacing w:after="0"/>
            </w:pPr>
            <w:r>
              <w:rPr>
                <w:rFonts w:ascii="Times New Roman" w:hAnsi="Times New Roman"/>
                <w:sz w:val="14"/>
              </w:rPr>
              <w:t>Killed at burnt-offering location.</w:t>
            </w:r>
          </w:p>
        </w:tc>
      </w:tr>
      <w:tr>
        <w:tc>
          <w:tcPr>
            <w:tcW w:type="dxa" w:w="3561"/>
            <w:vAlign w:val="top"/>
          </w:tcPr>
          <w:p>
            <w:pPr>
              <w:spacing w:after="0"/>
            </w:pPr>
            <w:r>
              <w:rPr>
                <w:rFonts w:ascii="Times New Roman" w:hAnsi="Times New Roman"/>
                <w:sz w:val="14"/>
              </w:rPr>
              <w:t>Lev. 6:27</w:t>
            </w:r>
          </w:p>
        </w:tc>
        <w:tc>
          <w:tcPr>
            <w:tcW w:type="dxa" w:w="3561"/>
            <w:vAlign w:val="top"/>
          </w:tcPr>
          <w:p>
            <w:pPr>
              <w:spacing w:after="0"/>
            </w:pPr>
            <w:r>
              <w:rPr>
                <w:rFonts w:ascii="Times New Roman" w:hAnsi="Times New Roman"/>
                <w:sz w:val="14"/>
              </w:rPr>
              <w:t>blood on garment washed</w:t>
            </w:r>
          </w:p>
        </w:tc>
        <w:tc>
          <w:tcPr>
            <w:tcW w:type="dxa" w:w="3561"/>
            <w:vAlign w:val="top"/>
          </w:tcPr>
          <w:p>
            <w:pPr>
              <w:spacing w:after="0"/>
            </w:pPr>
            <w:r>
              <w:rPr>
                <w:rFonts w:ascii="Times New Roman" w:hAnsi="Times New Roman"/>
                <w:sz w:val="14"/>
              </w:rPr>
              <w:t>Holy-place cleansing required.</w:t>
            </w:r>
          </w:p>
        </w:tc>
      </w:tr>
      <w:tr>
        <w:tc>
          <w:tcPr>
            <w:tcW w:type="dxa" w:w="3561"/>
            <w:vAlign w:val="top"/>
          </w:tcPr>
          <w:p>
            <w:pPr>
              <w:spacing w:after="0"/>
            </w:pPr>
            <w:r>
              <w:rPr>
                <w:rFonts w:ascii="Times New Roman" w:hAnsi="Times New Roman"/>
                <w:sz w:val="14"/>
              </w:rPr>
              <w:t>Lev. 6:28</w:t>
            </w:r>
          </w:p>
        </w:tc>
        <w:tc>
          <w:tcPr>
            <w:tcW w:type="dxa" w:w="3561"/>
            <w:vAlign w:val="top"/>
          </w:tcPr>
          <w:p>
            <w:pPr>
              <w:spacing w:after="0"/>
            </w:pPr>
            <w:r>
              <w:rPr>
                <w:rFonts w:ascii="Times New Roman" w:hAnsi="Times New Roman"/>
                <w:sz w:val="14"/>
              </w:rPr>
              <w:t>earthen broken / bronze scoured</w:t>
            </w:r>
          </w:p>
        </w:tc>
        <w:tc>
          <w:tcPr>
            <w:tcW w:type="dxa" w:w="3561"/>
            <w:vAlign w:val="top"/>
          </w:tcPr>
          <w:p>
            <w:pPr>
              <w:spacing w:after="0"/>
            </w:pPr>
            <w:r>
              <w:rPr>
                <w:rFonts w:ascii="Times New Roman" w:hAnsi="Times New Roman"/>
                <w:sz w:val="14"/>
              </w:rPr>
              <w:t>Material-specific cleansing rule.</w:t>
            </w:r>
          </w:p>
        </w:tc>
      </w:tr>
      <w:tr>
        <w:tc>
          <w:tcPr>
            <w:tcW w:type="dxa" w:w="3561"/>
            <w:vAlign w:val="top"/>
          </w:tcPr>
          <w:p>
            <w:pPr>
              <w:spacing w:after="0"/>
            </w:pPr>
            <w:r>
              <w:rPr>
                <w:rFonts w:ascii="Times New Roman" w:hAnsi="Times New Roman"/>
                <w:sz w:val="14"/>
              </w:rPr>
              <w:t>Lev. 6:30</w:t>
            </w:r>
          </w:p>
        </w:tc>
        <w:tc>
          <w:tcPr>
            <w:tcW w:type="dxa" w:w="3561"/>
            <w:vAlign w:val="top"/>
          </w:tcPr>
          <w:p>
            <w:pPr>
              <w:spacing w:after="0"/>
            </w:pPr>
            <w:r>
              <w:rPr>
                <w:rFonts w:ascii="Times New Roman" w:hAnsi="Times New Roman"/>
                <w:sz w:val="14"/>
              </w:rPr>
              <w:t>blood brought into Tent</w:t>
            </w:r>
          </w:p>
        </w:tc>
        <w:tc>
          <w:tcPr>
            <w:tcW w:type="dxa" w:w="3561"/>
            <w:vAlign w:val="top"/>
          </w:tcPr>
          <w:p>
            <w:pPr>
              <w:spacing w:after="0"/>
            </w:pPr>
            <w:r>
              <w:rPr>
                <w:rFonts w:ascii="Times New Roman" w:hAnsi="Times New Roman"/>
                <w:sz w:val="14"/>
              </w:rPr>
              <w:t>Such sin-offering flesh is burned, not eaten.</w:t>
            </w:r>
          </w:p>
        </w:tc>
      </w:tr>
    </w:tbl>
    <w:p>
      <w:pPr>
        <w:pStyle w:val="Heading1"/>
      </w:pPr>
      <w:r>
        <w:t>RESIDUAL UNCERTAINTIES</w:t>
      </w:r>
    </w:p>
    <w:p>
      <w:pPr/>
      <w:r>
        <w:rPr>
          <w:i w:val="0"/>
        </w:rPr>
        <w:t>English/Hebrew verse numbering differs in Jewish editions because the neighbour-restoration paragraph is often attached to the preceding chapter. That does not affect the content. The exact rationale behind some vessel rules combines practical material properties with ritual holiness and should not be reduced to either alone.</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LEVITICUS 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4"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6" w:after="16"/>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6" w:after="16"/>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