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7</w:t>
      </w:r>
    </w:p>
    <w:p>
      <w:pPr>
        <w:pStyle w:val="Subtitle"/>
      </w:pPr>
      <w:r>
        <w:t>THE LAW OF THE GUILT OFFERING • PRIESTLY PORTIONS • THANKSGIVING PEACE OFFERING • VOW AND FREEWILL OFFERINGS • HOLY FELLOWSHIP • NO FAT OR BLOOD • BREAST AND RIGHT THIGH</w:t>
      </w:r>
    </w:p>
    <w:p>
      <w:pPr/>
      <w:r>
        <w:rPr>
          <w:i/>
        </w:rPr>
        <w:t>H. P. Mansfield Bible notes — checked and arranged in verse-by-verse Expositor style</w:t>
      </w:r>
    </w:p>
    <w:p>
      <w:pPr/>
      <w:r>
        <w:rPr>
          <w:i w:val="0"/>
        </w:rPr>
        <w:t>Source: HPB 02-Gen42-Lev11.pdf, principally Leviticus 7 HPB pages</w:t>
      </w:r>
    </w:p>
    <w:p>
      <w:pPr>
        <w:pStyle w:val="Heading1"/>
      </w:pPr>
      <w:r>
        <w:t>CHAPTER OVERVIEW</w:t>
      </w:r>
    </w:p>
    <w:p>
      <w:pPr/>
      <w:r>
        <w:rPr>
          <w:i w:val="0"/>
        </w:rPr>
        <w:t>Leviticus 7 completes the priestly laws of the guilt and peace offerings. It regulates who receives portions, how long sacrificial meat may be eaten, what uncleanness excludes from fellowship, and why blood and designated fat remain forbidden.</w:t>
      </w:r>
    </w:p>
    <w:p>
      <w:pPr/>
      <w:r>
        <w:rPr>
          <w:i w:val="0"/>
        </w:rPr>
        <w:t>Joyful fellowship is therefore never casual. Thanksgiving and vows are welcomed, but Yahweh—not the worshipper—sets the terms of the holy meal.</w:t>
      </w:r>
    </w:p>
    <w:p>
      <w:pPr>
        <w:pStyle w:val="Heading1"/>
      </w:pPr>
      <w:r>
        <w:t>THE GUILT OFFERING AND PRIESTLY PORTIONS — LEVITICUS 7:1–10</w:t>
      </w:r>
    </w:p>
    <w:p>
      <w:pPr>
        <w:pStyle w:val="Heading2"/>
      </w:pPr>
      <w:r>
        <w:t>Leviticus 7:1–7 — guilt offering most holy</w:t>
      </w:r>
    </w:p>
    <w:p>
      <w:pPr/>
      <w:r>
        <w:rPr>
          <w:i w:val="0"/>
        </w:rPr>
        <w:t>The ’asham is qodesh qadashim, most holy, killed where the burnt offering is killed, with blood applied around the altar. The fat tail and specified internal fat/kidneys are burned, and the officiating priestly males eat the appointed flesh in a holy place.</w:t>
      </w:r>
    </w:p>
    <w:p>
      <w:pPr/>
      <w:r>
        <w:rPr>
          <w:i w:val="0"/>
        </w:rPr>
        <w:t>Verse 7 states that the law for sin and guilt offerings is alike in this respect: the priest who makes atonement receives the designated portion. The offerings remain distinct even where procedures overlap.</w:t>
      </w:r>
    </w:p>
    <w:p>
      <w:pPr>
        <w:pStyle w:val="Heading2"/>
      </w:pPr>
      <w:r>
        <w:t>Leviticus 7:8–10 — skin and grain portions</w:t>
      </w:r>
    </w:p>
    <w:p>
      <w:pPr/>
      <w:r>
        <w:rPr>
          <w:i w:val="0"/>
        </w:rPr>
        <w:t>The priest who presents a person’s burnt offering receives its skin. Baked/cooked meal offerings belong to the officiating priest, while uncooked offerings mixed with oil or dry are shared among Aaron’s sons according to the rule.</w:t>
      </w:r>
    </w:p>
    <w:p>
      <w:pPr/>
      <w:r>
        <w:rPr>
          <w:i w:val="0"/>
        </w:rPr>
        <w:t>Those serving at the altar are sustained through Yahweh’s regulated portions rather than private appropriation.</w:t>
      </w:r>
    </w:p>
    <w:p>
      <w:pPr>
        <w:pStyle w:val="Heading1"/>
      </w:pPr>
      <w:r>
        <w:t>THANKSGIVING AND VOW PEACE OFFERINGS — LEVITICUS 7:11–18</w:t>
      </w:r>
    </w:p>
    <w:p>
      <w:pPr>
        <w:pStyle w:val="Heading2"/>
      </w:pPr>
      <w:r>
        <w:t>Leviticus 7:11–15 — thanksgiving offering eaten the same day</w:t>
      </w:r>
    </w:p>
    <w:p>
      <w:pPr/>
      <w:r>
        <w:rPr>
          <w:i w:val="0"/>
        </w:rPr>
        <w:t>A thanksgiving peace offering is accompanied by unleavened cakes/wafers with oil and also leavened bread. The leavened bread is brought with the sacrifice but is not described as being burned on the altar; one cake from each contribution is given to the priest.</w:t>
      </w:r>
    </w:p>
    <w:p>
      <w:pPr/>
      <w:r>
        <w:rPr>
          <w:i w:val="0"/>
        </w:rPr>
        <w:t>The thanksgiving meat must be eaten the same day, with none left until morning. Fellowship is fresh and governed by Yahweh’s stated time.</w:t>
      </w:r>
    </w:p>
    <w:p>
      <w:pPr>
        <w:pStyle w:val="Heading2"/>
      </w:pPr>
      <w:r>
        <w:t>Leviticus 7:16–18 — vow/freewill offering and the third day</w:t>
      </w:r>
    </w:p>
    <w:p>
      <w:pPr/>
      <w:r>
        <w:rPr>
          <w:i w:val="0"/>
        </w:rPr>
        <w:t>A neder, vow, or nedabah, freewill peace offering may be eaten on the first and second days; any remainder is burned on the third. If sacrificial flesh is eaten on the third day, it is not accepted and is called piggul, an offensive/abhorrent thing.</w:t>
      </w:r>
    </w:p>
    <w:p>
      <w:pPr/>
      <w:r>
        <w:rPr>
          <w:i w:val="0"/>
        </w:rPr>
        <w:t>Holy fellowship cannot be prolonged according to convenience once the God-appointed period has passed.</w:t>
      </w:r>
    </w:p>
    <w:p>
      <w:pPr>
        <w:pStyle w:val="Heading1"/>
      </w:pPr>
      <w:r>
        <w:t>CLEANNESS AT THE FELLOWSHIP MEAL — LEVITICUS 7:19–21</w:t>
      </w:r>
    </w:p>
    <w:p>
      <w:pPr>
        <w:pStyle w:val="Heading2"/>
      </w:pPr>
      <w:r>
        <w:t>Leviticus 7:19–21 — uncleanness excludes from the holy meal</w:t>
      </w:r>
    </w:p>
    <w:p>
      <w:pPr/>
      <w:r>
        <w:rPr>
          <w:i w:val="0"/>
        </w:rPr>
        <w:t>Flesh contacting an unclean thing is burned, while clean persons may eat eligible peace-offering flesh. A person who eats Yahweh’s peace sacrifice while personally unclean is “cut off” from the people.</w:t>
      </w:r>
    </w:p>
    <w:p>
      <w:pPr/>
      <w:r>
        <w:rPr>
          <w:i w:val="0"/>
        </w:rPr>
        <w:t>Fellowship with Yahweh cannot be detached from the holiness conditions surrounding the meal.</w:t>
      </w:r>
    </w:p>
    <w:p>
      <w:pPr>
        <w:pStyle w:val="Heading1"/>
      </w:pPr>
      <w:r>
        <w:t>FAT AND BLOOD PROHIBITED — LEVITICUS 7:22–27</w:t>
      </w:r>
    </w:p>
    <w:p>
      <w:pPr>
        <w:pStyle w:val="Heading2"/>
      </w:pPr>
      <w:r>
        <w:t>Leviticus 7:22–25 — sacrificial-animal fat</w:t>
      </w:r>
    </w:p>
    <w:p>
      <w:pPr/>
      <w:r>
        <w:rPr>
          <w:i w:val="0"/>
        </w:rPr>
        <w:t>Israel must not eat the prohibited fat of ox, sheep or goat. Fat from an animal dying naturally or torn by beasts may be used for other purposes but not eaten. This clarifies Leviticus 3:17: the law is concerned with specified fat from sacrificial species, not every lipid in every food.</w:t>
      </w:r>
    </w:p>
    <w:p>
      <w:pPr>
        <w:pStyle w:val="Heading2"/>
      </w:pPr>
      <w:r>
        <w:t>Leviticus 7:26–27 — no blood of bird or beast</w:t>
      </w:r>
    </w:p>
    <w:p>
      <w:pPr/>
      <w:r>
        <w:rPr>
          <w:i w:val="0"/>
        </w:rPr>
        <w:t>No blood of bird or beast is to be eaten in Israel’s dwellings. The prohibition is grounded more fully in Leviticus 17:11–14, where blood is linked with the creature’s life and the God-given means of atonement.</w:t>
      </w:r>
    </w:p>
    <w:p>
      <w:pPr>
        <w:pStyle w:val="Heading1"/>
      </w:pPr>
      <w:r>
        <w:t>THE WORSHIPPER’S HANDS AND PRIEST’S PORTION — LEVITICUS 7:28–38</w:t>
      </w:r>
    </w:p>
    <w:p>
      <w:pPr>
        <w:pStyle w:val="Heading2"/>
      </w:pPr>
      <w:r>
        <w:t>Leviticus 7:28–30 — brought “with his own hands”</w:t>
      </w:r>
    </w:p>
    <w:p>
      <w:pPr/>
      <w:r>
        <w:rPr>
          <w:i w:val="0"/>
        </w:rPr>
        <w:t>The worshipper personally brings Yahweh’s fire-offering portions: fat with the breast for waving before Yahweh. Participation is not outsourced entirely to the priest; the offerer himself presents the gift.</w:t>
      </w:r>
    </w:p>
    <w:p>
      <w:pPr>
        <w:pStyle w:val="Heading2"/>
      </w:pPr>
      <w:r>
        <w:t>Leviticus 7:31–34 — breast and right shoq</w:t>
      </w:r>
    </w:p>
    <w:p>
      <w:pPr/>
      <w:r>
        <w:rPr>
          <w:i w:val="0"/>
        </w:rPr>
        <w:t>The breast is waved and becomes the priestly share; the right shoq is given as a terumah contribution to the officiating priest. KJV “right shoulder” can mislead modern anatomy: shoq means lower leg/shin or thigh/leg portion, not the shoulder joint.</w:t>
      </w:r>
    </w:p>
    <w:p>
      <w:pPr/>
      <w:r>
        <w:rPr>
          <w:i w:val="0"/>
        </w:rPr>
        <w:t>Mansfield’s breast=affection and shoulder/leg=strength/service symbolism is devotional typology; the literal portions are the breast and right leg/thigh.</w:t>
      </w:r>
    </w:p>
    <w:p>
      <w:pPr>
        <w:pStyle w:val="Heading2"/>
      </w:pPr>
      <w:r>
        <w:t>Leviticus 7:35–38 — ordered priestly provision</w:t>
      </w:r>
    </w:p>
    <w:p>
      <w:pPr/>
      <w:r>
        <w:rPr>
          <w:i w:val="0"/>
        </w:rPr>
        <w:t>The chapter closes by summarising Aaronic portions and the laws of burnt, grain, sin, guilt, installation and peace offerings given at Sinai. Worship and priestly support are defined rather than improvised.</w:t>
      </w:r>
    </w:p>
    <w:p>
      <w:pPr>
        <w:pStyle w:val="Heading1"/>
      </w:pPr>
      <w:r>
        <w:t>PRINCIPAL THEMES</w:t>
      </w:r>
    </w:p>
    <w:p>
      <w:pPr>
        <w:ind w:left="259" w:hanging="202"/>
      </w:pPr>
      <w:r>
        <w:rPr>
          <w:b/>
        </w:rPr>
        <w:t xml:space="preserve">• </w:t>
      </w:r>
      <w:r>
        <w:t>The guilt offering is most holy and overlaps procedurally with the sin offering without becoming identical to it.</w:t>
      </w:r>
    </w:p>
    <w:p>
      <w:pPr>
        <w:ind w:left="259" w:hanging="202"/>
      </w:pPr>
      <w:r>
        <w:rPr>
          <w:b/>
        </w:rPr>
        <w:t xml:space="preserve">• </w:t>
      </w:r>
      <w:r>
        <w:t>Priestly provision is regulated by Yahweh rather than privately claimed.</w:t>
      </w:r>
    </w:p>
    <w:p>
      <w:pPr>
        <w:ind w:left="259" w:hanging="202"/>
      </w:pPr>
      <w:r>
        <w:rPr>
          <w:b/>
        </w:rPr>
        <w:t xml:space="preserve">• </w:t>
      </w:r>
      <w:r>
        <w:t>Thanksgiving fellowship may include leavened bread, though it is not burned on the altar.</w:t>
      </w:r>
    </w:p>
    <w:p>
      <w:pPr>
        <w:ind w:left="259" w:hanging="202"/>
      </w:pPr>
      <w:r>
        <w:rPr>
          <w:b/>
        </w:rPr>
        <w:t xml:space="preserve">• </w:t>
      </w:r>
      <w:r>
        <w:t>Peace-offering meat has strict time limits; stale holy fellowship is not acceptable.</w:t>
      </w:r>
    </w:p>
    <w:p>
      <w:pPr>
        <w:ind w:left="259" w:hanging="202"/>
      </w:pPr>
      <w:r>
        <w:rPr>
          <w:b/>
        </w:rPr>
        <w:t xml:space="preserve">• </w:t>
      </w:r>
      <w:r>
        <w:t>Uncleanness is incompatible with participation in the holy meal.</w:t>
      </w:r>
    </w:p>
    <w:p>
      <w:pPr>
        <w:ind w:left="259" w:hanging="202"/>
      </w:pPr>
      <w:r>
        <w:rPr>
          <w:b/>
        </w:rPr>
        <w:t xml:space="preserve">• </w:t>
      </w:r>
      <w:r>
        <w:t>Leviticus 7 clarifies the scope of the prohibited fat.</w:t>
      </w:r>
    </w:p>
    <w:p>
      <w:pPr>
        <w:ind w:left="259" w:hanging="202"/>
      </w:pPr>
      <w:r>
        <w:rPr>
          <w:b/>
        </w:rPr>
        <w:t xml:space="preserve">• </w:t>
      </w:r>
      <w:r>
        <w:t>Blood of bird or beast remains forbidden.</w:t>
      </w:r>
    </w:p>
    <w:p>
      <w:pPr>
        <w:ind w:left="259" w:hanging="202"/>
      </w:pPr>
      <w:r>
        <w:rPr>
          <w:b/>
        </w:rPr>
        <w:t xml:space="preserve">• </w:t>
      </w:r>
      <w:r>
        <w:t>KJV “right shoulder” is more precisely the right leg/thigh portion (shoq).</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7:1</w:t>
            </w:r>
          </w:p>
        </w:tc>
        <w:tc>
          <w:tcPr>
            <w:tcW w:type="dxa" w:w="3561"/>
            <w:vAlign w:val="top"/>
          </w:tcPr>
          <w:p>
            <w:pPr>
              <w:spacing w:after="0"/>
            </w:pPr>
            <w:r>
              <w:rPr>
                <w:rFonts w:ascii="Times New Roman" w:hAnsi="Times New Roman"/>
                <w:sz w:val="14"/>
              </w:rPr>
              <w:t>’asham / qodesh qadashim</w:t>
            </w:r>
          </w:p>
        </w:tc>
        <w:tc>
          <w:tcPr>
            <w:tcW w:type="dxa" w:w="3561"/>
            <w:vAlign w:val="top"/>
          </w:tcPr>
          <w:p>
            <w:pPr>
              <w:spacing w:after="0"/>
            </w:pPr>
            <w:r>
              <w:rPr>
                <w:rFonts w:ascii="Times New Roman" w:hAnsi="Times New Roman"/>
                <w:sz w:val="14"/>
              </w:rPr>
              <w:t>Guilt offering; most holy.</w:t>
            </w:r>
          </w:p>
        </w:tc>
      </w:tr>
      <w:tr>
        <w:tc>
          <w:tcPr>
            <w:tcW w:type="dxa" w:w="3561"/>
            <w:vAlign w:val="top"/>
          </w:tcPr>
          <w:p>
            <w:pPr>
              <w:spacing w:after="0"/>
            </w:pPr>
            <w:r>
              <w:rPr>
                <w:rFonts w:ascii="Times New Roman" w:hAnsi="Times New Roman"/>
                <w:sz w:val="14"/>
              </w:rPr>
              <w:t>Lev. 7:2</w:t>
            </w:r>
          </w:p>
        </w:tc>
        <w:tc>
          <w:tcPr>
            <w:tcW w:type="dxa" w:w="3561"/>
            <w:vAlign w:val="top"/>
          </w:tcPr>
          <w:p>
            <w:pPr>
              <w:spacing w:after="0"/>
            </w:pPr>
            <w:r>
              <w:rPr>
                <w:rFonts w:ascii="Times New Roman" w:hAnsi="Times New Roman"/>
                <w:sz w:val="14"/>
              </w:rPr>
              <w:t>blood around altar</w:t>
            </w:r>
          </w:p>
        </w:tc>
        <w:tc>
          <w:tcPr>
            <w:tcW w:type="dxa" w:w="3561"/>
            <w:vAlign w:val="top"/>
          </w:tcPr>
          <w:p>
            <w:pPr>
              <w:spacing w:after="0"/>
            </w:pPr>
            <w:r>
              <w:rPr>
                <w:rFonts w:ascii="Times New Roman" w:hAnsi="Times New Roman"/>
                <w:sz w:val="14"/>
              </w:rPr>
              <w:t>Same altar-blood pattern as related sacrifices.</w:t>
            </w:r>
          </w:p>
        </w:tc>
      </w:tr>
      <w:tr>
        <w:tc>
          <w:tcPr>
            <w:tcW w:type="dxa" w:w="3561"/>
            <w:vAlign w:val="top"/>
          </w:tcPr>
          <w:p>
            <w:pPr>
              <w:spacing w:after="0"/>
            </w:pPr>
            <w:r>
              <w:rPr>
                <w:rFonts w:ascii="Times New Roman" w:hAnsi="Times New Roman"/>
                <w:sz w:val="14"/>
              </w:rPr>
              <w:t>Lev. 7:3</w:t>
            </w:r>
          </w:p>
        </w:tc>
        <w:tc>
          <w:tcPr>
            <w:tcW w:type="dxa" w:w="3561"/>
            <w:vAlign w:val="top"/>
          </w:tcPr>
          <w:p>
            <w:pPr>
              <w:spacing w:after="0"/>
            </w:pPr>
            <w:r>
              <w:rPr>
                <w:rFonts w:ascii="Times New Roman" w:hAnsi="Times New Roman"/>
                <w:sz w:val="14"/>
              </w:rPr>
              <w:t>fat tail + inward fat</w:t>
            </w:r>
          </w:p>
        </w:tc>
        <w:tc>
          <w:tcPr>
            <w:tcW w:type="dxa" w:w="3561"/>
            <w:vAlign w:val="top"/>
          </w:tcPr>
          <w:p>
            <w:pPr>
              <w:spacing w:after="0"/>
            </w:pPr>
            <w:r>
              <w:rPr>
                <w:rFonts w:ascii="Times New Roman" w:hAnsi="Times New Roman"/>
                <w:sz w:val="14"/>
              </w:rPr>
              <w:t>Ram-specific sacrificial portions.</w:t>
            </w:r>
          </w:p>
        </w:tc>
      </w:tr>
      <w:tr>
        <w:tc>
          <w:tcPr>
            <w:tcW w:type="dxa" w:w="3561"/>
            <w:vAlign w:val="top"/>
          </w:tcPr>
          <w:p>
            <w:pPr>
              <w:spacing w:after="0"/>
            </w:pPr>
            <w:r>
              <w:rPr>
                <w:rFonts w:ascii="Times New Roman" w:hAnsi="Times New Roman"/>
                <w:sz w:val="14"/>
              </w:rPr>
              <w:t>Lev. 7:7</w:t>
            </w:r>
          </w:p>
        </w:tc>
        <w:tc>
          <w:tcPr>
            <w:tcW w:type="dxa" w:w="3561"/>
            <w:vAlign w:val="top"/>
          </w:tcPr>
          <w:p>
            <w:pPr>
              <w:spacing w:after="0"/>
            </w:pPr>
            <w:r>
              <w:rPr>
                <w:rFonts w:ascii="Times New Roman" w:hAnsi="Times New Roman"/>
                <w:sz w:val="14"/>
              </w:rPr>
              <w:t>sin/guilt procedural parallel</w:t>
            </w:r>
          </w:p>
        </w:tc>
        <w:tc>
          <w:tcPr>
            <w:tcW w:type="dxa" w:w="3561"/>
            <w:vAlign w:val="top"/>
          </w:tcPr>
          <w:p>
            <w:pPr>
              <w:spacing w:after="0"/>
            </w:pPr>
            <w:r>
              <w:rPr>
                <w:rFonts w:ascii="Times New Roman" w:hAnsi="Times New Roman"/>
                <w:sz w:val="14"/>
              </w:rPr>
              <w:t>Same priestly entitlement; offerings remain distinct.</w:t>
            </w:r>
          </w:p>
        </w:tc>
      </w:tr>
      <w:tr>
        <w:tc>
          <w:tcPr>
            <w:tcW w:type="dxa" w:w="3561"/>
            <w:vAlign w:val="top"/>
          </w:tcPr>
          <w:p>
            <w:pPr>
              <w:spacing w:after="0"/>
            </w:pPr>
            <w:r>
              <w:rPr>
                <w:rFonts w:ascii="Times New Roman" w:hAnsi="Times New Roman"/>
                <w:sz w:val="14"/>
              </w:rPr>
              <w:t>Lev. 7:8</w:t>
            </w:r>
          </w:p>
        </w:tc>
        <w:tc>
          <w:tcPr>
            <w:tcW w:type="dxa" w:w="3561"/>
            <w:vAlign w:val="top"/>
          </w:tcPr>
          <w:p>
            <w:pPr>
              <w:spacing w:after="0"/>
            </w:pPr>
            <w:r>
              <w:rPr>
                <w:rFonts w:ascii="Times New Roman" w:hAnsi="Times New Roman"/>
                <w:sz w:val="14"/>
              </w:rPr>
              <w:t>burnt-offering skin</w:t>
            </w:r>
          </w:p>
        </w:tc>
        <w:tc>
          <w:tcPr>
            <w:tcW w:type="dxa" w:w="3561"/>
            <w:vAlign w:val="top"/>
          </w:tcPr>
          <w:p>
            <w:pPr>
              <w:spacing w:after="0"/>
            </w:pPr>
            <w:r>
              <w:rPr>
                <w:rFonts w:ascii="Times New Roman" w:hAnsi="Times New Roman"/>
                <w:sz w:val="14"/>
              </w:rPr>
              <w:t>Belongs to officiating priest.</w:t>
            </w:r>
          </w:p>
        </w:tc>
      </w:tr>
      <w:tr>
        <w:tc>
          <w:tcPr>
            <w:tcW w:type="dxa" w:w="3561"/>
            <w:vAlign w:val="top"/>
          </w:tcPr>
          <w:p>
            <w:pPr>
              <w:spacing w:after="0"/>
            </w:pPr>
            <w:r>
              <w:rPr>
                <w:rFonts w:ascii="Times New Roman" w:hAnsi="Times New Roman"/>
                <w:sz w:val="14"/>
              </w:rPr>
              <w:t>Lev. 7:12–14</w:t>
            </w:r>
          </w:p>
        </w:tc>
        <w:tc>
          <w:tcPr>
            <w:tcW w:type="dxa" w:w="3561"/>
            <w:vAlign w:val="top"/>
          </w:tcPr>
          <w:p>
            <w:pPr>
              <w:spacing w:after="0"/>
            </w:pPr>
            <w:r>
              <w:rPr>
                <w:rFonts w:ascii="Times New Roman" w:hAnsi="Times New Roman"/>
                <w:sz w:val="14"/>
              </w:rPr>
              <w:t>leavened bread with thanksgiving</w:t>
            </w:r>
          </w:p>
        </w:tc>
        <w:tc>
          <w:tcPr>
            <w:tcW w:type="dxa" w:w="3561"/>
            <w:vAlign w:val="top"/>
          </w:tcPr>
          <w:p>
            <w:pPr>
              <w:spacing w:after="0"/>
            </w:pPr>
            <w:r>
              <w:rPr>
                <w:rFonts w:ascii="Times New Roman" w:hAnsi="Times New Roman"/>
                <w:sz w:val="14"/>
              </w:rPr>
              <w:t>Presented with peace offering; not said to be altar-burned.</w:t>
            </w:r>
          </w:p>
        </w:tc>
      </w:tr>
      <w:tr>
        <w:tc>
          <w:tcPr>
            <w:tcW w:type="dxa" w:w="3561"/>
            <w:vAlign w:val="top"/>
          </w:tcPr>
          <w:p>
            <w:pPr>
              <w:spacing w:after="0"/>
            </w:pPr>
            <w:r>
              <w:rPr>
                <w:rFonts w:ascii="Times New Roman" w:hAnsi="Times New Roman"/>
                <w:sz w:val="14"/>
              </w:rPr>
              <w:t>Lev. 7:15</w:t>
            </w:r>
          </w:p>
        </w:tc>
        <w:tc>
          <w:tcPr>
            <w:tcW w:type="dxa" w:w="3561"/>
            <w:vAlign w:val="top"/>
          </w:tcPr>
          <w:p>
            <w:pPr>
              <w:spacing w:after="0"/>
            </w:pPr>
            <w:r>
              <w:rPr>
                <w:rFonts w:ascii="Times New Roman" w:hAnsi="Times New Roman"/>
                <w:sz w:val="14"/>
              </w:rPr>
              <w:t>thanksgiving eaten same day</w:t>
            </w:r>
          </w:p>
        </w:tc>
        <w:tc>
          <w:tcPr>
            <w:tcW w:type="dxa" w:w="3561"/>
            <w:vAlign w:val="top"/>
          </w:tcPr>
          <w:p>
            <w:pPr>
              <w:spacing w:after="0"/>
            </w:pPr>
            <w:r>
              <w:rPr>
                <w:rFonts w:ascii="Times New Roman" w:hAnsi="Times New Roman"/>
                <w:sz w:val="14"/>
              </w:rPr>
              <w:t>No remainder until morning.</w:t>
            </w:r>
          </w:p>
        </w:tc>
      </w:tr>
      <w:tr>
        <w:tc>
          <w:tcPr>
            <w:tcW w:type="dxa" w:w="3561"/>
            <w:vAlign w:val="top"/>
          </w:tcPr>
          <w:p>
            <w:pPr>
              <w:spacing w:after="0"/>
            </w:pPr>
            <w:r>
              <w:rPr>
                <w:rFonts w:ascii="Times New Roman" w:hAnsi="Times New Roman"/>
                <w:sz w:val="14"/>
              </w:rPr>
              <w:t>Lev. 7:16</w:t>
            </w:r>
          </w:p>
        </w:tc>
        <w:tc>
          <w:tcPr>
            <w:tcW w:type="dxa" w:w="3561"/>
            <w:vAlign w:val="top"/>
          </w:tcPr>
          <w:p>
            <w:pPr>
              <w:spacing w:after="0"/>
            </w:pPr>
            <w:r>
              <w:rPr>
                <w:rFonts w:ascii="Times New Roman" w:hAnsi="Times New Roman"/>
                <w:sz w:val="14"/>
              </w:rPr>
              <w:t>neder / nedabah</w:t>
            </w:r>
          </w:p>
        </w:tc>
        <w:tc>
          <w:tcPr>
            <w:tcW w:type="dxa" w:w="3561"/>
            <w:vAlign w:val="top"/>
          </w:tcPr>
          <w:p>
            <w:pPr>
              <w:spacing w:after="0"/>
            </w:pPr>
            <w:r>
              <w:rPr>
                <w:rFonts w:ascii="Times New Roman" w:hAnsi="Times New Roman"/>
                <w:sz w:val="14"/>
              </w:rPr>
              <w:t>Vow / freewill offering.</w:t>
            </w:r>
          </w:p>
        </w:tc>
      </w:tr>
      <w:tr>
        <w:tc>
          <w:tcPr>
            <w:tcW w:type="dxa" w:w="3561"/>
            <w:vAlign w:val="top"/>
          </w:tcPr>
          <w:p>
            <w:pPr>
              <w:spacing w:after="0"/>
            </w:pPr>
            <w:r>
              <w:rPr>
                <w:rFonts w:ascii="Times New Roman" w:hAnsi="Times New Roman"/>
                <w:sz w:val="14"/>
              </w:rPr>
              <w:t>Lev. 7:18</w:t>
            </w:r>
          </w:p>
        </w:tc>
        <w:tc>
          <w:tcPr>
            <w:tcW w:type="dxa" w:w="3561"/>
            <w:vAlign w:val="top"/>
          </w:tcPr>
          <w:p>
            <w:pPr>
              <w:spacing w:after="0"/>
            </w:pPr>
            <w:r>
              <w:rPr>
                <w:rFonts w:ascii="Times New Roman" w:hAnsi="Times New Roman"/>
                <w:sz w:val="14"/>
              </w:rPr>
              <w:t>piggul</w:t>
            </w:r>
          </w:p>
        </w:tc>
        <w:tc>
          <w:tcPr>
            <w:tcW w:type="dxa" w:w="3561"/>
            <w:vAlign w:val="top"/>
          </w:tcPr>
          <w:p>
            <w:pPr>
              <w:spacing w:after="0"/>
            </w:pPr>
            <w:r>
              <w:rPr>
                <w:rFonts w:ascii="Times New Roman" w:hAnsi="Times New Roman"/>
                <w:sz w:val="14"/>
              </w:rPr>
              <w:t>Offensive/abhorrent sacrificial remainder.</w:t>
            </w:r>
          </w:p>
        </w:tc>
      </w:tr>
      <w:tr>
        <w:tc>
          <w:tcPr>
            <w:tcW w:type="dxa" w:w="3561"/>
            <w:vAlign w:val="top"/>
          </w:tcPr>
          <w:p>
            <w:pPr>
              <w:spacing w:after="0"/>
            </w:pPr>
            <w:r>
              <w:rPr>
                <w:rFonts w:ascii="Times New Roman" w:hAnsi="Times New Roman"/>
                <w:sz w:val="14"/>
              </w:rPr>
              <w:t>Lev. 7:20–21</w:t>
            </w:r>
          </w:p>
        </w:tc>
        <w:tc>
          <w:tcPr>
            <w:tcW w:type="dxa" w:w="3561"/>
            <w:vAlign w:val="top"/>
          </w:tcPr>
          <w:p>
            <w:pPr>
              <w:spacing w:after="0"/>
            </w:pPr>
            <w:r>
              <w:rPr>
                <w:rFonts w:ascii="Times New Roman" w:hAnsi="Times New Roman"/>
                <w:sz w:val="14"/>
              </w:rPr>
              <w:t>cut off while unclean</w:t>
            </w:r>
          </w:p>
        </w:tc>
        <w:tc>
          <w:tcPr>
            <w:tcW w:type="dxa" w:w="3561"/>
            <w:vAlign w:val="top"/>
          </w:tcPr>
          <w:p>
            <w:pPr>
              <w:spacing w:after="0"/>
            </w:pPr>
            <w:r>
              <w:rPr>
                <w:rFonts w:ascii="Times New Roman" w:hAnsi="Times New Roman"/>
                <w:sz w:val="14"/>
              </w:rPr>
              <w:t>Holy meal requires cleanness.</w:t>
            </w:r>
          </w:p>
        </w:tc>
      </w:tr>
      <w:tr>
        <w:tc>
          <w:tcPr>
            <w:tcW w:type="dxa" w:w="3561"/>
            <w:vAlign w:val="top"/>
          </w:tcPr>
          <w:p>
            <w:pPr>
              <w:spacing w:after="0"/>
            </w:pPr>
            <w:r>
              <w:rPr>
                <w:rFonts w:ascii="Times New Roman" w:hAnsi="Times New Roman"/>
                <w:sz w:val="14"/>
              </w:rPr>
              <w:t>Lev. 7:23–25</w:t>
            </w:r>
          </w:p>
        </w:tc>
        <w:tc>
          <w:tcPr>
            <w:tcW w:type="dxa" w:w="3561"/>
            <w:vAlign w:val="top"/>
          </w:tcPr>
          <w:p>
            <w:pPr>
              <w:spacing w:after="0"/>
            </w:pPr>
            <w:r>
              <w:rPr>
                <w:rFonts w:ascii="Times New Roman" w:hAnsi="Times New Roman"/>
                <w:sz w:val="14"/>
              </w:rPr>
              <w:t>fat law clarified</w:t>
            </w:r>
          </w:p>
        </w:tc>
        <w:tc>
          <w:tcPr>
            <w:tcW w:type="dxa" w:w="3561"/>
            <w:vAlign w:val="top"/>
          </w:tcPr>
          <w:p>
            <w:pPr>
              <w:spacing w:after="0"/>
            </w:pPr>
            <w:r>
              <w:rPr>
                <w:rFonts w:ascii="Times New Roman" w:hAnsi="Times New Roman"/>
                <w:sz w:val="14"/>
              </w:rPr>
              <w:t>Ox/sheep/goat specified; non-eating uses distinguished.</w:t>
            </w:r>
          </w:p>
        </w:tc>
      </w:tr>
      <w:tr>
        <w:tc>
          <w:tcPr>
            <w:tcW w:type="dxa" w:w="3561"/>
            <w:vAlign w:val="top"/>
          </w:tcPr>
          <w:p>
            <w:pPr>
              <w:spacing w:after="0"/>
            </w:pPr>
            <w:r>
              <w:rPr>
                <w:rFonts w:ascii="Times New Roman" w:hAnsi="Times New Roman"/>
                <w:sz w:val="14"/>
              </w:rPr>
              <w:t>Lev. 7:26</w:t>
            </w:r>
          </w:p>
        </w:tc>
        <w:tc>
          <w:tcPr>
            <w:tcW w:type="dxa" w:w="3561"/>
            <w:vAlign w:val="top"/>
          </w:tcPr>
          <w:p>
            <w:pPr>
              <w:spacing w:after="0"/>
            </w:pPr>
            <w:r>
              <w:rPr>
                <w:rFonts w:ascii="Times New Roman" w:hAnsi="Times New Roman"/>
                <w:sz w:val="14"/>
              </w:rPr>
              <w:t>bird/beast blood</w:t>
            </w:r>
          </w:p>
        </w:tc>
        <w:tc>
          <w:tcPr>
            <w:tcW w:type="dxa" w:w="3561"/>
            <w:vAlign w:val="top"/>
          </w:tcPr>
          <w:p>
            <w:pPr>
              <w:spacing w:after="0"/>
            </w:pPr>
            <w:r>
              <w:rPr>
                <w:rFonts w:ascii="Times New Roman" w:hAnsi="Times New Roman"/>
                <w:sz w:val="14"/>
              </w:rPr>
              <w:t>Blood prohibition broad across dwellings.</w:t>
            </w:r>
          </w:p>
        </w:tc>
      </w:tr>
      <w:tr>
        <w:tc>
          <w:tcPr>
            <w:tcW w:type="dxa" w:w="3561"/>
            <w:vAlign w:val="top"/>
          </w:tcPr>
          <w:p>
            <w:pPr>
              <w:spacing w:after="0"/>
            </w:pPr>
            <w:r>
              <w:rPr>
                <w:rFonts w:ascii="Times New Roman" w:hAnsi="Times New Roman"/>
                <w:sz w:val="14"/>
              </w:rPr>
              <w:t>Lev. 7:30</w:t>
            </w:r>
          </w:p>
        </w:tc>
        <w:tc>
          <w:tcPr>
            <w:tcW w:type="dxa" w:w="3561"/>
            <w:vAlign w:val="top"/>
          </w:tcPr>
          <w:p>
            <w:pPr>
              <w:spacing w:after="0"/>
            </w:pPr>
            <w:r>
              <w:rPr>
                <w:rFonts w:ascii="Times New Roman" w:hAnsi="Times New Roman"/>
                <w:sz w:val="14"/>
              </w:rPr>
              <w:t>own hands bring</w:t>
            </w:r>
          </w:p>
        </w:tc>
        <w:tc>
          <w:tcPr>
            <w:tcW w:type="dxa" w:w="3561"/>
            <w:vAlign w:val="top"/>
          </w:tcPr>
          <w:p>
            <w:pPr>
              <w:spacing w:after="0"/>
            </w:pPr>
            <w:r>
              <w:rPr>
                <w:rFonts w:ascii="Times New Roman" w:hAnsi="Times New Roman"/>
                <w:sz w:val="14"/>
              </w:rPr>
              <w:t>Worshipper personally presents fire-offering portions.</w:t>
            </w:r>
          </w:p>
        </w:tc>
      </w:tr>
      <w:tr>
        <w:tc>
          <w:tcPr>
            <w:tcW w:type="dxa" w:w="3561"/>
            <w:vAlign w:val="top"/>
          </w:tcPr>
          <w:p>
            <w:pPr>
              <w:spacing w:after="0"/>
            </w:pPr>
            <w:r>
              <w:rPr>
                <w:rFonts w:ascii="Times New Roman" w:hAnsi="Times New Roman"/>
                <w:sz w:val="14"/>
              </w:rPr>
              <w:t>Lev. 7:32–34</w:t>
            </w:r>
          </w:p>
        </w:tc>
        <w:tc>
          <w:tcPr>
            <w:tcW w:type="dxa" w:w="3561"/>
            <w:vAlign w:val="top"/>
          </w:tcPr>
          <w:p>
            <w:pPr>
              <w:spacing w:after="0"/>
            </w:pPr>
            <w:r>
              <w:rPr>
                <w:rFonts w:ascii="Times New Roman" w:hAnsi="Times New Roman"/>
                <w:sz w:val="14"/>
              </w:rPr>
              <w:t>shoq</w:t>
            </w:r>
          </w:p>
        </w:tc>
        <w:tc>
          <w:tcPr>
            <w:tcW w:type="dxa" w:w="3561"/>
            <w:vAlign w:val="top"/>
          </w:tcPr>
          <w:p>
            <w:pPr>
              <w:spacing w:after="0"/>
            </w:pPr>
            <w:r>
              <w:rPr>
                <w:rFonts w:ascii="Times New Roman" w:hAnsi="Times New Roman"/>
                <w:sz w:val="14"/>
              </w:rPr>
              <w:t>Right leg/thigh/shin portion; KJV “shoulder” can mislead.</w:t>
            </w:r>
          </w:p>
        </w:tc>
      </w:tr>
      <w:tr>
        <w:tc>
          <w:tcPr>
            <w:tcW w:type="dxa" w:w="3561"/>
            <w:vAlign w:val="top"/>
          </w:tcPr>
          <w:p>
            <w:pPr>
              <w:spacing w:after="0"/>
            </w:pPr>
            <w:r>
              <w:rPr>
                <w:rFonts w:ascii="Times New Roman" w:hAnsi="Times New Roman"/>
                <w:sz w:val="14"/>
              </w:rPr>
              <w:t>Lev. 7:37–38</w:t>
            </w:r>
          </w:p>
        </w:tc>
        <w:tc>
          <w:tcPr>
            <w:tcW w:type="dxa" w:w="3561"/>
            <w:vAlign w:val="top"/>
          </w:tcPr>
          <w:p>
            <w:pPr>
              <w:spacing w:after="0"/>
            </w:pPr>
            <w:r>
              <w:rPr>
                <w:rFonts w:ascii="Times New Roman" w:hAnsi="Times New Roman"/>
                <w:sz w:val="14"/>
              </w:rPr>
              <w:t>summary law</w:t>
            </w:r>
          </w:p>
        </w:tc>
        <w:tc>
          <w:tcPr>
            <w:tcW w:type="dxa" w:w="3561"/>
            <w:vAlign w:val="top"/>
          </w:tcPr>
          <w:p>
            <w:pPr>
              <w:spacing w:after="0"/>
            </w:pPr>
            <w:r>
              <w:rPr>
                <w:rFonts w:ascii="Times New Roman" w:hAnsi="Times New Roman"/>
                <w:sz w:val="14"/>
              </w:rPr>
              <w:t>Offerings governed by Sinai ordinance.</w:t>
            </w:r>
          </w:p>
        </w:tc>
      </w:tr>
    </w:tbl>
    <w:p>
      <w:pPr>
        <w:pStyle w:val="Heading1"/>
      </w:pPr>
      <w:r>
        <w:t>RESIDUAL UNCERTAINTIES</w:t>
      </w:r>
    </w:p>
    <w:p>
      <w:pPr/>
      <w:r>
        <w:rPr>
          <w:i w:val="0"/>
        </w:rPr>
        <w:t>The exact English anatomical equivalent of shoq varies with how the animal leg is divided, but it is not the shoulder in the modern anatomical sense. The ritual movement behind “wave” and “heave/contribution” is not described in full detail. Mansfield’s breast/strength symbolism is retained only as typology.</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