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LEVITICUS 8</w:t>
      </w:r>
    </w:p>
    <w:p>
      <w:pPr>
        <w:pStyle w:val="Subtitle"/>
      </w:pPr>
      <w:r>
        <w:t>PRIESTS CONSECRATED • PUBLIC ASSEMBLY • WASHED AND CLOTHED • ANOINTED • SIN OFFERING AND BURNT OFFERING • RAM OF INSTALLATION • BLOOD AND OIL • SEVEN DAYS</w:t>
      </w:r>
    </w:p>
    <w:p>
      <w:pPr/>
      <w:r>
        <w:rPr>
          <w:i/>
        </w:rPr>
        <w:t>H. P. Mansfield Bible notes — checked and arranged in verse-by-verse Expositor style</w:t>
      </w:r>
    </w:p>
    <w:p>
      <w:pPr/>
      <w:r>
        <w:rPr>
          <w:i w:val="0"/>
        </w:rPr>
        <w:t>Source: HPB 02-Gen42-Lev11.pdf, principally Leviticus 8 HPB pages</w:t>
      </w:r>
    </w:p>
    <w:p>
      <w:pPr>
        <w:pStyle w:val="Heading1"/>
      </w:pPr>
      <w:r>
        <w:t>CHAPTER OVERVIEW</w:t>
      </w:r>
    </w:p>
    <w:p>
      <w:pPr/>
      <w:r>
        <w:rPr>
          <w:i w:val="0"/>
        </w:rPr>
        <w:t>Leviticus 8 records the execution of the priestly installation commanded in Exodus 29. Aaron and his sons are publicly washed, clothed, anointed and brought through sin, burnt and installation offerings before beginning priestly service.</w:t>
      </w:r>
    </w:p>
    <w:p>
      <w:pPr/>
      <w:r>
        <w:rPr>
          <w:i w:val="0"/>
        </w:rPr>
        <w:t>The sequence makes one fact unmistakable: the Aaronic mediators themselves need cleansing and atonement. Their office is God-appointed, not evidence of inherent sinlessness.</w:t>
      </w:r>
    </w:p>
    <w:p>
      <w:pPr>
        <w:pStyle w:val="Heading1"/>
      </w:pPr>
      <w:r>
        <w:t>THE CONGREGATION ASSEMBLED — LEVITICUS 8:1–5</w:t>
      </w:r>
    </w:p>
    <w:p>
      <w:pPr>
        <w:pStyle w:val="Heading2"/>
      </w:pPr>
      <w:r>
        <w:t>Leviticus 8:1–5 — public installation before Israel</w:t>
      </w:r>
    </w:p>
    <w:p>
      <w:pPr/>
      <w:r>
        <w:rPr>
          <w:i w:val="0"/>
        </w:rPr>
        <w:t>Yahweh commands Moses to bring Aaron and sons, garments, anointing oil, sacrificial animals and unleavened-bread basket, and to gather the congregation at the Tent entrance. Moses explicitly says, “This is the thing which Yahweh commanded to be done.”</w:t>
      </w:r>
    </w:p>
    <w:p>
      <w:pPr/>
      <w:r>
        <w:rPr>
          <w:i w:val="0"/>
        </w:rPr>
        <w:t>Priestly consecration is public because those who will represent the community are installed before the community under Yahweh’s word.</w:t>
      </w:r>
    </w:p>
    <w:p>
      <w:pPr>
        <w:pStyle w:val="Heading1"/>
      </w:pPr>
      <w:r>
        <w:t>WASHED, CLOTHED AND ANOINTED — LEVITICUS 8:6–13</w:t>
      </w:r>
    </w:p>
    <w:p>
      <w:pPr>
        <w:pStyle w:val="Heading2"/>
      </w:pPr>
      <w:r>
        <w:t>Leviticus 8:6 — washing precedes service</w:t>
      </w:r>
    </w:p>
    <w:p>
      <w:pPr/>
      <w:r>
        <w:rPr>
          <w:i w:val="0"/>
        </w:rPr>
        <w:t>Moses washes Aaron and his sons with water. Ritual cleansing precedes priestly clothing and altar ministry.</w:t>
      </w:r>
    </w:p>
    <w:p>
      <w:pPr>
        <w:pStyle w:val="Heading2"/>
      </w:pPr>
      <w:r>
        <w:t>Leviticus 8:7–9 — Aaron clothed for office</w:t>
      </w:r>
    </w:p>
    <w:p>
      <w:pPr/>
      <w:r>
        <w:rPr>
          <w:i w:val="0"/>
        </w:rPr>
        <w:t>Aaron receives tunic, sash, robe, ephod, breastpiece with Urim and Thummim, turban and holy gold plate. The garments make visible the office Yahweh has assigned; they do not create personal moral superiority.</w:t>
      </w:r>
    </w:p>
    <w:p>
      <w:pPr>
        <w:pStyle w:val="Heading2"/>
      </w:pPr>
      <w:r>
        <w:t>Leviticus 8:10–12 — sanctuary and Aaron anointed</w:t>
      </w:r>
    </w:p>
    <w:p>
      <w:pPr/>
      <w:r>
        <w:rPr>
          <w:i w:val="0"/>
        </w:rPr>
        <w:t>Moses anoints the tabernacle and contents, sprinkles the altar seven times, anoints altar, vessels and laver, and pours oil upon Aaron’s head. Anointing sets apart both place and priest for sacred use.</w:t>
      </w:r>
    </w:p>
    <w:p>
      <w:pPr>
        <w:pStyle w:val="Heading2"/>
      </w:pPr>
      <w:r>
        <w:t>Leviticus 8:13 — sons clothed as commanded</w:t>
      </w:r>
    </w:p>
    <w:p>
      <w:pPr/>
      <w:r>
        <w:rPr>
          <w:i w:val="0"/>
        </w:rPr>
        <w:t>Aaron’s sons receive tunics, sashes and headgear “as Yahweh commanded Moses.” The refrain makes obedience the measure of legitimate priestly preparation.</w:t>
      </w:r>
    </w:p>
    <w:p>
      <w:pPr>
        <w:pStyle w:val="Heading1"/>
      </w:pPr>
      <w:r>
        <w:t>THE SIN AND BURNT OFFERINGS — LEVITICUS 8:14–21</w:t>
      </w:r>
    </w:p>
    <w:p>
      <w:pPr>
        <w:pStyle w:val="Heading2"/>
      </w:pPr>
      <w:r>
        <w:t>Leviticus 8:14–17 — the priests first require atonement</w:t>
      </w:r>
    </w:p>
    <w:p>
      <w:pPr/>
      <w:r>
        <w:rPr>
          <w:i w:val="0"/>
        </w:rPr>
        <w:t>Aaron and sons lay hands on the bull of the sin/purification offering. Moses slaughters it, puts blood on the altar horns and pours blood at the base, thereby purifying/de-sinning and sanctifying the altar for atonement.</w:t>
      </w:r>
    </w:p>
    <w:p>
      <w:pPr/>
      <w:r>
        <w:rPr>
          <w:i w:val="0"/>
        </w:rPr>
        <w:t>The selected fat is burned, while the remaining bull is burned outside the camp. The priests who will mediate for others begin by being represented in a sin offering themselves.</w:t>
      </w:r>
    </w:p>
    <w:p>
      <w:pPr>
        <w:pStyle w:val="Heading2"/>
      </w:pPr>
      <w:r>
        <w:t>Leviticus 8:18–21 — ram of burnt offering</w:t>
      </w:r>
    </w:p>
    <w:p>
      <w:pPr/>
      <w:r>
        <w:rPr>
          <w:i w:val="0"/>
        </w:rPr>
        <w:t>Hands are laid upon the first ram; Moses slaughters it, applies blood, divides and washes the animal, and burns it wholly. The ‘olah represents complete dedication after cleansing.</w:t>
      </w:r>
    </w:p>
    <w:p>
      <w:pPr>
        <w:pStyle w:val="Heading1"/>
      </w:pPr>
      <w:r>
        <w:t>THE RAM OF INSTALLATION — LEVITICUS 8:22–30</w:t>
      </w:r>
    </w:p>
    <w:p>
      <w:pPr>
        <w:pStyle w:val="Heading2"/>
      </w:pPr>
      <w:r>
        <w:t>Leviticus 8:22–24 — blood on ear, thumb and great toe</w:t>
      </w:r>
    </w:p>
    <w:p>
      <w:pPr/>
      <w:r>
        <w:rPr>
          <w:i w:val="0"/>
        </w:rPr>
        <w:t>The second ram is the ram of millu’im, installation/consecration. Blood is placed on the right ear-lobe, right thumb and right great toe of Aaron and each son.</w:t>
      </w:r>
    </w:p>
    <w:p>
      <w:pPr/>
      <w:r>
        <w:rPr>
          <w:i w:val="0"/>
        </w:rPr>
        <w:t>Mansfield’s hearing-doing-walking application is strong ritual typology: consecrated service embraces what the priest hears, does and where he walks. These are applications, not separate lexical meanings of ear, thumb or toe.</w:t>
      </w:r>
    </w:p>
    <w:p>
      <w:pPr>
        <w:pStyle w:val="Heading2"/>
      </w:pPr>
      <w:r>
        <w:t>Leviticus 8:25–29 — hands filled and wave offering</w:t>
      </w:r>
    </w:p>
    <w:p>
      <w:pPr/>
      <w:r>
        <w:rPr>
          <w:i w:val="0"/>
        </w:rPr>
        <w:t>Fat portions, right leg/thigh and bread are placed upon the priests’ hands and waved before Yahweh, visually enacting the “fill the hand” idiom of installation. Moses then burns the altar portions and receives the breast as his wave portion.</w:t>
      </w:r>
    </w:p>
    <w:p>
      <w:pPr>
        <w:pStyle w:val="Heading2"/>
      </w:pPr>
      <w:r>
        <w:t>Leviticus 8:30 — blood and anointing oil together</w:t>
      </w:r>
    </w:p>
    <w:p>
      <w:pPr/>
      <w:r>
        <w:rPr>
          <w:i w:val="0"/>
        </w:rPr>
        <w:t>Moses sprinkles Aaron, his sons and their garments with both anointing oil and altar blood. Atonement and setting apart for holy service are visibly united.</w:t>
      </w:r>
    </w:p>
    <w:p>
      <w:pPr>
        <w:pStyle w:val="Heading1"/>
      </w:pPr>
      <w:r>
        <w:t>THE CONSECRATION MEAL AND SEVEN DAYS — LEVITICUS 8:31–36</w:t>
      </w:r>
    </w:p>
    <w:p>
      <w:pPr>
        <w:pStyle w:val="Heading2"/>
      </w:pPr>
      <w:r>
        <w:t>Leviticus 8:31–32 — holy meal at the Tent entrance</w:t>
      </w:r>
    </w:p>
    <w:p>
      <w:pPr/>
      <w:r>
        <w:rPr>
          <w:i w:val="0"/>
        </w:rPr>
        <w:t>Aaron and sons boil and eat the ram flesh with bread at the Tent entrance; leftovers are burned. The consecration meal is fellowship within the limits of holiness.</w:t>
      </w:r>
    </w:p>
    <w:p>
      <w:pPr>
        <w:pStyle w:val="Heading2"/>
      </w:pPr>
      <w:r>
        <w:t>Leviticus 8:33–35 — seven days; keep Yahweh’s charge</w:t>
      </w:r>
    </w:p>
    <w:p>
      <w:pPr/>
      <w:r>
        <w:rPr>
          <w:i w:val="0"/>
        </w:rPr>
        <w:t>They may not leave the Tent entrance for seven days until the days of millu’im are completed. Day and night they keep mishmereth YHWH, Yahweh’s charge/watch, “that ye die not.” Consecrated office requires patient continuance exactly where Yahweh has placed them.</w:t>
      </w:r>
    </w:p>
    <w:p>
      <w:pPr>
        <w:pStyle w:val="Heading2"/>
      </w:pPr>
      <w:r>
        <w:t>Leviticus 8:36 — complete obedience</w:t>
      </w:r>
    </w:p>
    <w:p>
      <w:pPr/>
      <w:r>
        <w:rPr>
          <w:i w:val="0"/>
        </w:rPr>
        <w:t>Aaron and sons do all the things Yahweh commanded by Moses. The chapter closes not by praising status but by recording obedience.</w:t>
      </w:r>
    </w:p>
    <w:p>
      <w:pPr>
        <w:pStyle w:val="Heading1"/>
      </w:pPr>
      <w:r>
        <w:t>AARONIC PRIESTHOOD AND CHRIST</w:t>
      </w:r>
    </w:p>
    <w:p>
      <w:pPr>
        <w:pStyle w:val="Heading2"/>
      </w:pPr>
      <w:r>
        <w:t>A mediator who does not need sacrifice for himself</w:t>
      </w:r>
    </w:p>
    <w:p>
      <w:pPr/>
      <w:r>
        <w:rPr>
          <w:i w:val="0"/>
        </w:rPr>
        <w:t>Hebrews 5:1–3 contrasts ordinary high priests, who must offer for their own sins as well as the people’s, with Christ’s unique priesthood; Hebrews 7:26–28 presents the sinless Son who does not require repeated self-atonement. Leviticus 8 therefore helps explain both the pattern and the limitation of Aaronic mediation.</w:t>
      </w:r>
    </w:p>
    <w:p>
      <w:pPr>
        <w:pStyle w:val="Heading1"/>
      </w:pPr>
      <w:r>
        <w:t>PRINCIPAL THEMES</w:t>
      </w:r>
    </w:p>
    <w:p>
      <w:pPr>
        <w:ind w:left="259" w:hanging="202"/>
      </w:pPr>
      <w:r>
        <w:rPr>
          <w:b/>
        </w:rPr>
        <w:t xml:space="preserve">• </w:t>
      </w:r>
      <w:r>
        <w:t>Priestly consecration is public and explicitly commanded by Yahweh.</w:t>
      </w:r>
    </w:p>
    <w:p>
      <w:pPr>
        <w:ind w:left="259" w:hanging="202"/>
      </w:pPr>
      <w:r>
        <w:rPr>
          <w:b/>
        </w:rPr>
        <w:t xml:space="preserve">• </w:t>
      </w:r>
      <w:r>
        <w:t>Washing precedes clothing, anointing and service.</w:t>
      </w:r>
    </w:p>
    <w:p>
      <w:pPr>
        <w:ind w:left="259" w:hanging="202"/>
      </w:pPr>
      <w:r>
        <w:rPr>
          <w:b/>
        </w:rPr>
        <w:t xml:space="preserve">• </w:t>
      </w:r>
      <w:r>
        <w:t>Aaronic priests themselves require a sin offering before mediating for others.</w:t>
      </w:r>
    </w:p>
    <w:p>
      <w:pPr>
        <w:ind w:left="259" w:hanging="202"/>
      </w:pPr>
      <w:r>
        <w:rPr>
          <w:b/>
        </w:rPr>
        <w:t xml:space="preserve">• </w:t>
      </w:r>
      <w:r>
        <w:t>The burnt offering follows cleansing with complete dedication.</w:t>
      </w:r>
    </w:p>
    <w:p>
      <w:pPr>
        <w:ind w:left="259" w:hanging="202"/>
      </w:pPr>
      <w:r>
        <w:rPr>
          <w:b/>
        </w:rPr>
        <w:t xml:space="preserve">• </w:t>
      </w:r>
      <w:r>
        <w:t>Ear, thumb and toe provide a strong hearing-doing-walking consecration pattern.</w:t>
      </w:r>
    </w:p>
    <w:p>
      <w:pPr>
        <w:ind w:left="259" w:hanging="202"/>
      </w:pPr>
      <w:r>
        <w:rPr>
          <w:b/>
        </w:rPr>
        <w:t xml:space="preserve">• </w:t>
      </w:r>
      <w:r>
        <w:t>“Fill the hand” is enacted visibly in the installation rite.</w:t>
      </w:r>
    </w:p>
    <w:p>
      <w:pPr>
        <w:ind w:left="259" w:hanging="202"/>
      </w:pPr>
      <w:r>
        <w:rPr>
          <w:b/>
        </w:rPr>
        <w:t xml:space="preserve">• </w:t>
      </w:r>
      <w:r>
        <w:t>Blood and anointing oil unite atonement with sanctification.</w:t>
      </w:r>
    </w:p>
    <w:p>
      <w:pPr>
        <w:ind w:left="259" w:hanging="202"/>
      </w:pPr>
      <w:r>
        <w:rPr>
          <w:b/>
        </w:rPr>
        <w:t xml:space="preserve">• </w:t>
      </w:r>
      <w:r>
        <w:t>Seven days of faithful continuance complete the installation.</w:t>
      </w:r>
    </w:p>
    <w:p>
      <w:pPr>
        <w:ind w:left="259" w:hanging="202"/>
      </w:pPr>
      <w:r>
        <w:rPr>
          <w:b/>
        </w:rPr>
        <w:t xml:space="preserve">• </w:t>
      </w:r>
      <w:r>
        <w:t>Hebrews reveals both the pattern and limitations of the Aaronic priesthood.</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6"/>
              </w:rPr>
              <w:t>Location</w:t>
            </w:r>
          </w:p>
        </w:tc>
        <w:tc>
          <w:tcPr>
            <w:tcW w:type="dxa" w:w="3561"/>
          </w:tcPr>
          <w:p>
            <w:r>
              <w:rPr>
                <w:rFonts w:ascii="Arial" w:hAnsi="Arial"/>
                <w:b/>
                <w:sz w:val="16"/>
              </w:rPr>
              <w:t>Checked / corrected reading</w:t>
            </w:r>
          </w:p>
        </w:tc>
        <w:tc>
          <w:tcPr>
            <w:tcW w:type="dxa" w:w="3561"/>
          </w:tcPr>
          <w:p>
            <w:r>
              <w:rPr>
                <w:rFonts w:ascii="Arial" w:hAnsi="Arial"/>
                <w:b/>
                <w:sz w:val="16"/>
              </w:rPr>
              <w:t>Basis</w:t>
            </w:r>
          </w:p>
        </w:tc>
      </w:tr>
      <w:tr>
        <w:tc>
          <w:tcPr>
            <w:tcW w:type="dxa" w:w="3561"/>
            <w:vAlign w:val="top"/>
          </w:tcPr>
          <w:p>
            <w:pPr>
              <w:spacing w:after="0"/>
            </w:pPr>
            <w:r>
              <w:rPr>
                <w:rFonts w:ascii="Times New Roman" w:hAnsi="Times New Roman"/>
                <w:sz w:val="14"/>
              </w:rPr>
              <w:t>Lev. 8:4–5</w:t>
            </w:r>
          </w:p>
        </w:tc>
        <w:tc>
          <w:tcPr>
            <w:tcW w:type="dxa" w:w="3561"/>
            <w:vAlign w:val="top"/>
          </w:tcPr>
          <w:p>
            <w:pPr>
              <w:spacing w:after="0"/>
            </w:pPr>
            <w:r>
              <w:rPr>
                <w:rFonts w:ascii="Times New Roman" w:hAnsi="Times New Roman"/>
                <w:sz w:val="14"/>
              </w:rPr>
              <w:t>public assembly</w:t>
            </w:r>
          </w:p>
        </w:tc>
        <w:tc>
          <w:tcPr>
            <w:tcW w:type="dxa" w:w="3561"/>
            <w:vAlign w:val="top"/>
          </w:tcPr>
          <w:p>
            <w:pPr>
              <w:spacing w:after="0"/>
            </w:pPr>
            <w:r>
              <w:rPr>
                <w:rFonts w:ascii="Times New Roman" w:hAnsi="Times New Roman"/>
                <w:sz w:val="14"/>
              </w:rPr>
              <w:t>Priests installed before congregation under explicit command.</w:t>
            </w:r>
          </w:p>
        </w:tc>
      </w:tr>
      <w:tr>
        <w:tc>
          <w:tcPr>
            <w:tcW w:type="dxa" w:w="3561"/>
            <w:vAlign w:val="top"/>
          </w:tcPr>
          <w:p>
            <w:pPr>
              <w:spacing w:after="0"/>
            </w:pPr>
            <w:r>
              <w:rPr>
                <w:rFonts w:ascii="Times New Roman" w:hAnsi="Times New Roman"/>
                <w:sz w:val="14"/>
              </w:rPr>
              <w:t>Lev. 8:6</w:t>
            </w:r>
          </w:p>
        </w:tc>
        <w:tc>
          <w:tcPr>
            <w:tcW w:type="dxa" w:w="3561"/>
            <w:vAlign w:val="top"/>
          </w:tcPr>
          <w:p>
            <w:pPr>
              <w:spacing w:after="0"/>
            </w:pPr>
            <w:r>
              <w:rPr>
                <w:rFonts w:ascii="Times New Roman" w:hAnsi="Times New Roman"/>
                <w:sz w:val="14"/>
              </w:rPr>
              <w:t>washed with water</w:t>
            </w:r>
          </w:p>
        </w:tc>
        <w:tc>
          <w:tcPr>
            <w:tcW w:type="dxa" w:w="3561"/>
            <w:vAlign w:val="top"/>
          </w:tcPr>
          <w:p>
            <w:pPr>
              <w:spacing w:after="0"/>
            </w:pPr>
            <w:r>
              <w:rPr>
                <w:rFonts w:ascii="Times New Roman" w:hAnsi="Times New Roman"/>
                <w:sz w:val="14"/>
              </w:rPr>
              <w:t>Cleansing precedes office.</w:t>
            </w:r>
          </w:p>
        </w:tc>
      </w:tr>
      <w:tr>
        <w:tc>
          <w:tcPr>
            <w:tcW w:type="dxa" w:w="3561"/>
            <w:vAlign w:val="top"/>
          </w:tcPr>
          <w:p>
            <w:pPr>
              <w:spacing w:after="0"/>
            </w:pPr>
            <w:r>
              <w:rPr>
                <w:rFonts w:ascii="Times New Roman" w:hAnsi="Times New Roman"/>
                <w:sz w:val="14"/>
              </w:rPr>
              <w:t>Lev. 8:8</w:t>
            </w:r>
          </w:p>
        </w:tc>
        <w:tc>
          <w:tcPr>
            <w:tcW w:type="dxa" w:w="3561"/>
            <w:vAlign w:val="top"/>
          </w:tcPr>
          <w:p>
            <w:pPr>
              <w:spacing w:after="0"/>
            </w:pPr>
            <w:r>
              <w:rPr>
                <w:rFonts w:ascii="Times New Roman" w:hAnsi="Times New Roman"/>
                <w:sz w:val="14"/>
              </w:rPr>
              <w:t>Urim and Thummim</w:t>
            </w:r>
          </w:p>
        </w:tc>
        <w:tc>
          <w:tcPr>
            <w:tcW w:type="dxa" w:w="3561"/>
            <w:vAlign w:val="top"/>
          </w:tcPr>
          <w:p>
            <w:pPr>
              <w:spacing w:after="0"/>
            </w:pPr>
            <w:r>
              <w:rPr>
                <w:rFonts w:ascii="Times New Roman" w:hAnsi="Times New Roman"/>
                <w:sz w:val="14"/>
              </w:rPr>
              <w:t>Placed in breastpiece; mechanism remains unexplained.</w:t>
            </w:r>
          </w:p>
        </w:tc>
      </w:tr>
      <w:tr>
        <w:tc>
          <w:tcPr>
            <w:tcW w:type="dxa" w:w="3561"/>
            <w:vAlign w:val="top"/>
          </w:tcPr>
          <w:p>
            <w:pPr>
              <w:spacing w:after="0"/>
            </w:pPr>
            <w:r>
              <w:rPr>
                <w:rFonts w:ascii="Times New Roman" w:hAnsi="Times New Roman"/>
                <w:sz w:val="14"/>
              </w:rPr>
              <w:t>Lev. 8:11</w:t>
            </w:r>
          </w:p>
        </w:tc>
        <w:tc>
          <w:tcPr>
            <w:tcW w:type="dxa" w:w="3561"/>
            <w:vAlign w:val="top"/>
          </w:tcPr>
          <w:p>
            <w:pPr>
              <w:spacing w:after="0"/>
            </w:pPr>
            <w:r>
              <w:rPr>
                <w:rFonts w:ascii="Times New Roman" w:hAnsi="Times New Roman"/>
                <w:sz w:val="14"/>
              </w:rPr>
              <w:t>altar sprinkled seven times</w:t>
            </w:r>
          </w:p>
        </w:tc>
        <w:tc>
          <w:tcPr>
            <w:tcW w:type="dxa" w:w="3561"/>
            <w:vAlign w:val="top"/>
          </w:tcPr>
          <w:p>
            <w:pPr>
              <w:spacing w:after="0"/>
            </w:pPr>
            <w:r>
              <w:rPr>
                <w:rFonts w:ascii="Times New Roman" w:hAnsi="Times New Roman"/>
                <w:sz w:val="14"/>
              </w:rPr>
              <w:t>Altar consecration before priestly service.</w:t>
            </w:r>
          </w:p>
        </w:tc>
      </w:tr>
      <w:tr>
        <w:tc>
          <w:tcPr>
            <w:tcW w:type="dxa" w:w="3561"/>
            <w:vAlign w:val="top"/>
          </w:tcPr>
          <w:p>
            <w:pPr>
              <w:spacing w:after="0"/>
            </w:pPr>
            <w:r>
              <w:rPr>
                <w:rFonts w:ascii="Times New Roman" w:hAnsi="Times New Roman"/>
                <w:sz w:val="14"/>
              </w:rPr>
              <w:t>Lev. 8:12</w:t>
            </w:r>
          </w:p>
        </w:tc>
        <w:tc>
          <w:tcPr>
            <w:tcW w:type="dxa" w:w="3561"/>
            <w:vAlign w:val="top"/>
          </w:tcPr>
          <w:p>
            <w:pPr>
              <w:spacing w:after="0"/>
            </w:pPr>
            <w:r>
              <w:rPr>
                <w:rFonts w:ascii="Times New Roman" w:hAnsi="Times New Roman"/>
                <w:sz w:val="14"/>
              </w:rPr>
              <w:t>oil poured on Aaron</w:t>
            </w:r>
          </w:p>
        </w:tc>
        <w:tc>
          <w:tcPr>
            <w:tcW w:type="dxa" w:w="3561"/>
            <w:vAlign w:val="top"/>
          </w:tcPr>
          <w:p>
            <w:pPr>
              <w:spacing w:after="0"/>
            </w:pPr>
            <w:r>
              <w:rPr>
                <w:rFonts w:ascii="Times New Roman" w:hAnsi="Times New Roman"/>
                <w:sz w:val="14"/>
              </w:rPr>
              <w:t>High-priestly anointing.</w:t>
            </w:r>
          </w:p>
        </w:tc>
      </w:tr>
      <w:tr>
        <w:tc>
          <w:tcPr>
            <w:tcW w:type="dxa" w:w="3561"/>
            <w:vAlign w:val="top"/>
          </w:tcPr>
          <w:p>
            <w:pPr>
              <w:spacing w:after="0"/>
            </w:pPr>
            <w:r>
              <w:rPr>
                <w:rFonts w:ascii="Times New Roman" w:hAnsi="Times New Roman"/>
                <w:sz w:val="14"/>
              </w:rPr>
              <w:t>Lev. 8:15</w:t>
            </w:r>
          </w:p>
        </w:tc>
        <w:tc>
          <w:tcPr>
            <w:tcW w:type="dxa" w:w="3561"/>
            <w:vAlign w:val="top"/>
          </w:tcPr>
          <w:p>
            <w:pPr>
              <w:spacing w:after="0"/>
            </w:pPr>
            <w:r>
              <w:rPr>
                <w:rFonts w:ascii="Times New Roman" w:hAnsi="Times New Roman"/>
                <w:sz w:val="14"/>
              </w:rPr>
              <w:t>altar purified/sanctified</w:t>
            </w:r>
          </w:p>
        </w:tc>
        <w:tc>
          <w:tcPr>
            <w:tcW w:type="dxa" w:w="3561"/>
            <w:vAlign w:val="top"/>
          </w:tcPr>
          <w:p>
            <w:pPr>
              <w:spacing w:after="0"/>
            </w:pPr>
            <w:r>
              <w:rPr>
                <w:rFonts w:ascii="Times New Roman" w:hAnsi="Times New Roman"/>
                <w:sz w:val="14"/>
              </w:rPr>
              <w:t>Blood prepares altar for atonement service.</w:t>
            </w:r>
          </w:p>
        </w:tc>
      </w:tr>
      <w:tr>
        <w:tc>
          <w:tcPr>
            <w:tcW w:type="dxa" w:w="3561"/>
            <w:vAlign w:val="top"/>
          </w:tcPr>
          <w:p>
            <w:pPr>
              <w:spacing w:after="0"/>
            </w:pPr>
            <w:r>
              <w:rPr>
                <w:rFonts w:ascii="Times New Roman" w:hAnsi="Times New Roman"/>
                <w:sz w:val="14"/>
              </w:rPr>
              <w:t>Lev. 8:17</w:t>
            </w:r>
          </w:p>
        </w:tc>
        <w:tc>
          <w:tcPr>
            <w:tcW w:type="dxa" w:w="3561"/>
            <w:vAlign w:val="top"/>
          </w:tcPr>
          <w:p>
            <w:pPr>
              <w:spacing w:after="0"/>
            </w:pPr>
            <w:r>
              <w:rPr>
                <w:rFonts w:ascii="Times New Roman" w:hAnsi="Times New Roman"/>
                <w:sz w:val="14"/>
              </w:rPr>
              <w:t>bull outside camp</w:t>
            </w:r>
          </w:p>
        </w:tc>
        <w:tc>
          <w:tcPr>
            <w:tcW w:type="dxa" w:w="3561"/>
            <w:vAlign w:val="top"/>
          </w:tcPr>
          <w:p>
            <w:pPr>
              <w:spacing w:after="0"/>
            </w:pPr>
            <w:r>
              <w:rPr>
                <w:rFonts w:ascii="Times New Roman" w:hAnsi="Times New Roman"/>
                <w:sz w:val="14"/>
              </w:rPr>
              <w:t>Sin-offering remainder disposed outside.</w:t>
            </w:r>
          </w:p>
        </w:tc>
      </w:tr>
      <w:tr>
        <w:tc>
          <w:tcPr>
            <w:tcW w:type="dxa" w:w="3561"/>
            <w:vAlign w:val="top"/>
          </w:tcPr>
          <w:p>
            <w:pPr>
              <w:spacing w:after="0"/>
            </w:pPr>
            <w:r>
              <w:rPr>
                <w:rFonts w:ascii="Times New Roman" w:hAnsi="Times New Roman"/>
                <w:sz w:val="14"/>
              </w:rPr>
              <w:t>Lev. 8:18–21</w:t>
            </w:r>
          </w:p>
        </w:tc>
        <w:tc>
          <w:tcPr>
            <w:tcW w:type="dxa" w:w="3561"/>
            <w:vAlign w:val="top"/>
          </w:tcPr>
          <w:p>
            <w:pPr>
              <w:spacing w:after="0"/>
            </w:pPr>
            <w:r>
              <w:rPr>
                <w:rFonts w:ascii="Times New Roman" w:hAnsi="Times New Roman"/>
                <w:sz w:val="14"/>
              </w:rPr>
              <w:t>‘olah</w:t>
            </w:r>
          </w:p>
        </w:tc>
        <w:tc>
          <w:tcPr>
            <w:tcW w:type="dxa" w:w="3561"/>
            <w:vAlign w:val="top"/>
          </w:tcPr>
          <w:p>
            <w:pPr>
              <w:spacing w:after="0"/>
            </w:pPr>
            <w:r>
              <w:rPr>
                <w:rFonts w:ascii="Times New Roman" w:hAnsi="Times New Roman"/>
                <w:sz w:val="14"/>
              </w:rPr>
              <w:t>Whole burnt/ascending offering.</w:t>
            </w:r>
          </w:p>
        </w:tc>
      </w:tr>
      <w:tr>
        <w:tc>
          <w:tcPr>
            <w:tcW w:type="dxa" w:w="3561"/>
            <w:vAlign w:val="top"/>
          </w:tcPr>
          <w:p>
            <w:pPr>
              <w:spacing w:after="0"/>
            </w:pPr>
            <w:r>
              <w:rPr>
                <w:rFonts w:ascii="Times New Roman" w:hAnsi="Times New Roman"/>
                <w:sz w:val="14"/>
              </w:rPr>
              <w:t>Lev. 8:22</w:t>
            </w:r>
          </w:p>
        </w:tc>
        <w:tc>
          <w:tcPr>
            <w:tcW w:type="dxa" w:w="3561"/>
            <w:vAlign w:val="top"/>
          </w:tcPr>
          <w:p>
            <w:pPr>
              <w:spacing w:after="0"/>
            </w:pPr>
            <w:r>
              <w:rPr>
                <w:rFonts w:ascii="Times New Roman" w:hAnsi="Times New Roman"/>
                <w:sz w:val="14"/>
              </w:rPr>
              <w:t>ram of millu’im</w:t>
            </w:r>
          </w:p>
        </w:tc>
        <w:tc>
          <w:tcPr>
            <w:tcW w:type="dxa" w:w="3561"/>
            <w:vAlign w:val="top"/>
          </w:tcPr>
          <w:p>
            <w:pPr>
              <w:spacing w:after="0"/>
            </w:pPr>
            <w:r>
              <w:rPr>
                <w:rFonts w:ascii="Times New Roman" w:hAnsi="Times New Roman"/>
                <w:sz w:val="14"/>
              </w:rPr>
              <w:t>Installation/consecration ram.</w:t>
            </w:r>
          </w:p>
        </w:tc>
      </w:tr>
      <w:tr>
        <w:tc>
          <w:tcPr>
            <w:tcW w:type="dxa" w:w="3561"/>
            <w:vAlign w:val="top"/>
          </w:tcPr>
          <w:p>
            <w:pPr>
              <w:spacing w:after="0"/>
            </w:pPr>
            <w:r>
              <w:rPr>
                <w:rFonts w:ascii="Times New Roman" w:hAnsi="Times New Roman"/>
                <w:sz w:val="14"/>
              </w:rPr>
              <w:t>Lev. 8:23–24</w:t>
            </w:r>
          </w:p>
        </w:tc>
        <w:tc>
          <w:tcPr>
            <w:tcW w:type="dxa" w:w="3561"/>
            <w:vAlign w:val="top"/>
          </w:tcPr>
          <w:p>
            <w:pPr>
              <w:spacing w:after="0"/>
            </w:pPr>
            <w:r>
              <w:rPr>
                <w:rFonts w:ascii="Times New Roman" w:hAnsi="Times New Roman"/>
                <w:sz w:val="14"/>
              </w:rPr>
              <w:t>ear/thumb/toe</w:t>
            </w:r>
          </w:p>
        </w:tc>
        <w:tc>
          <w:tcPr>
            <w:tcW w:type="dxa" w:w="3561"/>
            <w:vAlign w:val="top"/>
          </w:tcPr>
          <w:p>
            <w:pPr>
              <w:spacing w:after="0"/>
            </w:pPr>
            <w:r>
              <w:rPr>
                <w:rFonts w:ascii="Times New Roman" w:hAnsi="Times New Roman"/>
                <w:sz w:val="14"/>
              </w:rPr>
              <w:t>Literal blood rite; hearing/doing/walking is typology.</w:t>
            </w:r>
          </w:p>
        </w:tc>
      </w:tr>
      <w:tr>
        <w:tc>
          <w:tcPr>
            <w:tcW w:type="dxa" w:w="3561"/>
            <w:vAlign w:val="top"/>
          </w:tcPr>
          <w:p>
            <w:pPr>
              <w:spacing w:after="0"/>
            </w:pPr>
            <w:r>
              <w:rPr>
                <w:rFonts w:ascii="Times New Roman" w:hAnsi="Times New Roman"/>
                <w:sz w:val="14"/>
              </w:rPr>
              <w:t>Lev. 8:27</w:t>
            </w:r>
          </w:p>
        </w:tc>
        <w:tc>
          <w:tcPr>
            <w:tcW w:type="dxa" w:w="3561"/>
            <w:vAlign w:val="top"/>
          </w:tcPr>
          <w:p>
            <w:pPr>
              <w:spacing w:after="0"/>
            </w:pPr>
            <w:r>
              <w:rPr>
                <w:rFonts w:ascii="Times New Roman" w:hAnsi="Times New Roman"/>
                <w:sz w:val="14"/>
              </w:rPr>
              <w:t>hands filled</w:t>
            </w:r>
          </w:p>
        </w:tc>
        <w:tc>
          <w:tcPr>
            <w:tcW w:type="dxa" w:w="3561"/>
            <w:vAlign w:val="top"/>
          </w:tcPr>
          <w:p>
            <w:pPr>
              <w:spacing w:after="0"/>
            </w:pPr>
            <w:r>
              <w:rPr>
                <w:rFonts w:ascii="Times New Roman" w:hAnsi="Times New Roman"/>
                <w:sz w:val="14"/>
              </w:rPr>
              <w:t>Ritual enactment of priestly-installation idiom.</w:t>
            </w:r>
          </w:p>
        </w:tc>
      </w:tr>
      <w:tr>
        <w:tc>
          <w:tcPr>
            <w:tcW w:type="dxa" w:w="3561"/>
            <w:vAlign w:val="top"/>
          </w:tcPr>
          <w:p>
            <w:pPr>
              <w:spacing w:after="0"/>
            </w:pPr>
            <w:r>
              <w:rPr>
                <w:rFonts w:ascii="Times New Roman" w:hAnsi="Times New Roman"/>
                <w:sz w:val="14"/>
              </w:rPr>
              <w:t>Lev. 8:29</w:t>
            </w:r>
          </w:p>
        </w:tc>
        <w:tc>
          <w:tcPr>
            <w:tcW w:type="dxa" w:w="3561"/>
            <w:vAlign w:val="top"/>
          </w:tcPr>
          <w:p>
            <w:pPr>
              <w:spacing w:after="0"/>
            </w:pPr>
            <w:r>
              <w:rPr>
                <w:rFonts w:ascii="Times New Roman" w:hAnsi="Times New Roman"/>
                <w:sz w:val="14"/>
              </w:rPr>
              <w:t>breast to Moses</w:t>
            </w:r>
          </w:p>
        </w:tc>
        <w:tc>
          <w:tcPr>
            <w:tcW w:type="dxa" w:w="3561"/>
            <w:vAlign w:val="top"/>
          </w:tcPr>
          <w:p>
            <w:pPr>
              <w:spacing w:after="0"/>
            </w:pPr>
            <w:r>
              <w:rPr>
                <w:rFonts w:ascii="Times New Roman" w:hAnsi="Times New Roman"/>
                <w:sz w:val="14"/>
              </w:rPr>
              <w:t>Moses receives wave portion in installation rite.</w:t>
            </w:r>
          </w:p>
        </w:tc>
      </w:tr>
      <w:tr>
        <w:tc>
          <w:tcPr>
            <w:tcW w:type="dxa" w:w="3561"/>
            <w:vAlign w:val="top"/>
          </w:tcPr>
          <w:p>
            <w:pPr>
              <w:spacing w:after="0"/>
            </w:pPr>
            <w:r>
              <w:rPr>
                <w:rFonts w:ascii="Times New Roman" w:hAnsi="Times New Roman"/>
                <w:sz w:val="14"/>
              </w:rPr>
              <w:t>Lev. 8:30</w:t>
            </w:r>
          </w:p>
        </w:tc>
        <w:tc>
          <w:tcPr>
            <w:tcW w:type="dxa" w:w="3561"/>
            <w:vAlign w:val="top"/>
          </w:tcPr>
          <w:p>
            <w:pPr>
              <w:spacing w:after="0"/>
            </w:pPr>
            <w:r>
              <w:rPr>
                <w:rFonts w:ascii="Times New Roman" w:hAnsi="Times New Roman"/>
                <w:sz w:val="14"/>
              </w:rPr>
              <w:t>oil + blood</w:t>
            </w:r>
          </w:p>
        </w:tc>
        <w:tc>
          <w:tcPr>
            <w:tcW w:type="dxa" w:w="3561"/>
            <w:vAlign w:val="top"/>
          </w:tcPr>
          <w:p>
            <w:pPr>
              <w:spacing w:after="0"/>
            </w:pPr>
            <w:r>
              <w:rPr>
                <w:rFonts w:ascii="Times New Roman" w:hAnsi="Times New Roman"/>
                <w:sz w:val="14"/>
              </w:rPr>
              <w:t>Consecration and atonement joined.</w:t>
            </w:r>
          </w:p>
        </w:tc>
      </w:tr>
      <w:tr>
        <w:tc>
          <w:tcPr>
            <w:tcW w:type="dxa" w:w="3561"/>
            <w:vAlign w:val="top"/>
          </w:tcPr>
          <w:p>
            <w:pPr>
              <w:spacing w:after="0"/>
            </w:pPr>
            <w:r>
              <w:rPr>
                <w:rFonts w:ascii="Times New Roman" w:hAnsi="Times New Roman"/>
                <w:sz w:val="14"/>
              </w:rPr>
              <w:t>Lev. 8:33</w:t>
            </w:r>
          </w:p>
        </w:tc>
        <w:tc>
          <w:tcPr>
            <w:tcW w:type="dxa" w:w="3561"/>
            <w:vAlign w:val="top"/>
          </w:tcPr>
          <w:p>
            <w:pPr>
              <w:spacing w:after="0"/>
            </w:pPr>
            <w:r>
              <w:rPr>
                <w:rFonts w:ascii="Times New Roman" w:hAnsi="Times New Roman"/>
                <w:sz w:val="14"/>
              </w:rPr>
              <w:t>seven days</w:t>
            </w:r>
          </w:p>
        </w:tc>
        <w:tc>
          <w:tcPr>
            <w:tcW w:type="dxa" w:w="3561"/>
            <w:vAlign w:val="top"/>
          </w:tcPr>
          <w:p>
            <w:pPr>
              <w:spacing w:after="0"/>
            </w:pPr>
            <w:r>
              <w:rPr>
                <w:rFonts w:ascii="Times New Roman" w:hAnsi="Times New Roman"/>
                <w:sz w:val="14"/>
              </w:rPr>
              <w:t>Full installation period.</w:t>
            </w:r>
          </w:p>
        </w:tc>
      </w:tr>
      <w:tr>
        <w:tc>
          <w:tcPr>
            <w:tcW w:type="dxa" w:w="3561"/>
            <w:vAlign w:val="top"/>
          </w:tcPr>
          <w:p>
            <w:pPr>
              <w:spacing w:after="0"/>
            </w:pPr>
            <w:r>
              <w:rPr>
                <w:rFonts w:ascii="Times New Roman" w:hAnsi="Times New Roman"/>
                <w:sz w:val="14"/>
              </w:rPr>
              <w:t>Lev. 8:35</w:t>
            </w:r>
          </w:p>
        </w:tc>
        <w:tc>
          <w:tcPr>
            <w:tcW w:type="dxa" w:w="3561"/>
            <w:vAlign w:val="top"/>
          </w:tcPr>
          <w:p>
            <w:pPr>
              <w:spacing w:after="0"/>
            </w:pPr>
            <w:r>
              <w:rPr>
                <w:rFonts w:ascii="Times New Roman" w:hAnsi="Times New Roman"/>
                <w:sz w:val="14"/>
              </w:rPr>
              <w:t>mishmereth YHWH</w:t>
            </w:r>
          </w:p>
        </w:tc>
        <w:tc>
          <w:tcPr>
            <w:tcW w:type="dxa" w:w="3561"/>
            <w:vAlign w:val="top"/>
          </w:tcPr>
          <w:p>
            <w:pPr>
              <w:spacing w:after="0"/>
            </w:pPr>
            <w:r>
              <w:rPr>
                <w:rFonts w:ascii="Times New Roman" w:hAnsi="Times New Roman"/>
                <w:sz w:val="14"/>
              </w:rPr>
              <w:t>Keep Yahweh’s charge/watch day and night.</w:t>
            </w:r>
          </w:p>
        </w:tc>
      </w:tr>
      <w:tr>
        <w:tc>
          <w:tcPr>
            <w:tcW w:type="dxa" w:w="3561"/>
            <w:vAlign w:val="top"/>
          </w:tcPr>
          <w:p>
            <w:pPr>
              <w:spacing w:after="0"/>
            </w:pPr>
            <w:r>
              <w:rPr>
                <w:rFonts w:ascii="Times New Roman" w:hAnsi="Times New Roman"/>
                <w:sz w:val="14"/>
              </w:rPr>
              <w:t>Heb. 5:1–3; 7:26–28</w:t>
            </w:r>
          </w:p>
        </w:tc>
        <w:tc>
          <w:tcPr>
            <w:tcW w:type="dxa" w:w="3561"/>
            <w:vAlign w:val="top"/>
          </w:tcPr>
          <w:p>
            <w:pPr>
              <w:spacing w:after="0"/>
            </w:pPr>
            <w:r>
              <w:rPr>
                <w:rFonts w:ascii="Times New Roman" w:hAnsi="Times New Roman"/>
                <w:sz w:val="14"/>
              </w:rPr>
              <w:t>Aaronic limitation / Christ</w:t>
            </w:r>
          </w:p>
        </w:tc>
        <w:tc>
          <w:tcPr>
            <w:tcW w:type="dxa" w:w="3561"/>
            <w:vAlign w:val="top"/>
          </w:tcPr>
          <w:p>
            <w:pPr>
              <w:spacing w:after="0"/>
            </w:pPr>
            <w:r>
              <w:rPr>
                <w:rFonts w:ascii="Times New Roman" w:hAnsi="Times New Roman"/>
                <w:sz w:val="14"/>
              </w:rPr>
              <w:t>Priests need own offerings; Christ is sinless high priest.</w:t>
            </w:r>
          </w:p>
        </w:tc>
      </w:tr>
    </w:tbl>
    <w:p>
      <w:pPr>
        <w:pStyle w:val="Heading1"/>
      </w:pPr>
      <w:r>
        <w:t>RESIDUAL UNCERTAINTIES</w:t>
      </w:r>
    </w:p>
    <w:p>
      <w:pPr/>
      <w:r>
        <w:rPr>
          <w:i w:val="0"/>
        </w:rPr>
        <w:t>The exact ritual mechanics of waving and some clothing details remain reconstructive. The Urim and Thummim are named but not explained mechanically. Mansfield’s ear-hand-foot symbolism is retained as a strong devotional type, while Hebrews supplies the controlling comparison between Aaronic and Christly priesthood.</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LEVITICUS 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4"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6" w:after="16"/>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6" w:after="16"/>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