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9</w:t>
      </w:r>
    </w:p>
    <w:p>
      <w:pPr>
        <w:pStyle w:val="Subtitle"/>
      </w:pPr>
      <w:r>
        <w:t>THE EIGHTH DAY • PRIESTLY MINISTRY BEGINS • ATONEMENT FOR PRIEST AND PEOPLE • BLESSING • THE GLORY APPEARS • FIRE FROM YAHWEH</w:t>
      </w:r>
    </w:p>
    <w:p>
      <w:pPr/>
      <w:r>
        <w:rPr>
          <w:i/>
        </w:rPr>
        <w:t>H. P. Mansfield Bible notes — checked and arranged in verse-by-verse Expositor style</w:t>
      </w:r>
    </w:p>
    <w:p>
      <w:pPr/>
      <w:r>
        <w:rPr>
          <w:i w:val="0"/>
        </w:rPr>
        <w:t>Source: HPB 02-Gen42-Lev11.pdf, principally Leviticus 9 HPB pages</w:t>
      </w:r>
    </w:p>
    <w:p>
      <w:pPr>
        <w:pStyle w:val="Heading1"/>
      </w:pPr>
      <w:r>
        <w:t>CHAPTER OVERVIEW</w:t>
      </w:r>
    </w:p>
    <w:p>
      <w:pPr/>
      <w:r>
        <w:rPr>
          <w:i w:val="0"/>
        </w:rPr>
        <w:t>After seven days of consecration, Leviticus 9 opens on the eighth day with Aaron beginning active priestly ministry. Mansfield rightly emphasises the movement from completed preparation to a new phase of service, while his wider millennial number scheme remains typology rather than the lexical meaning of “eight.”</w:t>
      </w:r>
    </w:p>
    <w:p>
      <w:pPr/>
      <w:r>
        <w:rPr>
          <w:i w:val="0"/>
        </w:rPr>
        <w:t>The chapter proceeds from atonement to dedication, service and fellowship, then to priestly blessing and visible Divine acceptance. Yahweh’s glory appears and fire from His presence consumes the altar offering.</w:t>
      </w:r>
    </w:p>
    <w:p>
      <w:pPr>
        <w:pStyle w:val="Heading1"/>
      </w:pPr>
      <w:r>
        <w:t>PREPARATION FOR THE APPEARING — LEVITICUS 9:1–7</w:t>
      </w:r>
    </w:p>
    <w:p>
      <w:pPr>
        <w:pStyle w:val="Heading2"/>
      </w:pPr>
      <w:r>
        <w:t>Leviticus 9:1 — the eighth day</w:t>
      </w:r>
    </w:p>
    <w:p>
      <w:pPr/>
      <w:r>
        <w:rPr>
          <w:i w:val="0"/>
        </w:rPr>
        <w:t>Moses calls Aaron, his sons and Israel’s elders on the eighth day. The number marks the day immediately following the seven-day installation period. New-beginning symbolism is a legitimate biblical pattern, but elaborate derivations of shemoneh from “fatness/superabundance” should not be treated as certain etymology.</w:t>
      </w:r>
    </w:p>
    <w:p>
      <w:pPr>
        <w:pStyle w:val="Heading2"/>
      </w:pPr>
      <w:r>
        <w:t>Leviticus 9:2 — Aaron still needs a sin offering</w:t>
      </w:r>
    </w:p>
    <w:p>
      <w:pPr/>
      <w:r>
        <w:rPr>
          <w:i w:val="0"/>
        </w:rPr>
        <w:t>Aaron brings a young bull/calf for a sin offering and a ram for a burnt offering, both without blemish. The newly installed high priest is not morally self-sufficient; his first public service includes atonement for himself.</w:t>
      </w:r>
    </w:p>
    <w:p>
      <w:pPr>
        <w:pStyle w:val="Heading2"/>
      </w:pPr>
      <w:r>
        <w:t>Leviticus 9:3–4 — Israel brings four kinds of offering</w:t>
      </w:r>
    </w:p>
    <w:p>
      <w:pPr/>
      <w:r>
        <w:rPr>
          <w:i w:val="0"/>
        </w:rPr>
        <w:t>Israel is told to bring a male goat for a sin offering; a calf and lamb, both yearlings without blemish, for burnt offering; an ox and ram for peace offerings; and a grain offering mixed with oil.</w:t>
      </w:r>
    </w:p>
    <w:p>
      <w:pPr/>
      <w:r>
        <w:rPr>
          <w:i w:val="0"/>
        </w:rPr>
        <w:t>The reason is explicit: “to day Yahweh will appear unto you.” Divine manifestation is preceded by ordered approach, not spontaneous religious invention.</w:t>
      </w:r>
    </w:p>
    <w:p>
      <w:pPr>
        <w:pStyle w:val="Heading2"/>
      </w:pPr>
      <w:r>
        <w:t>Leviticus 9:5–7 — draw near according to command</w:t>
      </w:r>
    </w:p>
    <w:p>
      <w:pPr/>
      <w:r>
        <w:rPr>
          <w:i w:val="0"/>
        </w:rPr>
        <w:t>The congregation brings the offerings and stands before Yahweh. Moses tells Aaron to approach the altar, make atonement for himself and for the people, then offer the people’s sacrifice “as Yahweh commanded.”</w:t>
      </w:r>
    </w:p>
    <w:p>
      <w:pPr>
        <w:pStyle w:val="Heading1"/>
      </w:pPr>
      <w:r>
        <w:t>AARON’S OFFERINGS — LEVITICUS 9:8–14</w:t>
      </w:r>
    </w:p>
    <w:p>
      <w:pPr>
        <w:pStyle w:val="Heading2"/>
      </w:pPr>
      <w:r>
        <w:t>Leviticus 9:8–11 — Aaron’s calf of the sin offering</w:t>
      </w:r>
    </w:p>
    <w:p>
      <w:pPr/>
      <w:r>
        <w:rPr>
          <w:i w:val="0"/>
        </w:rPr>
        <w:t>Aaron kills his calf. His sons present the blood; he dips his finger in it, places blood on the horns of the outer altar and pours the remainder at its base. The fat portions are burned while flesh and hide are burned outside the camp.</w:t>
      </w:r>
    </w:p>
    <w:p>
      <w:pPr/>
      <w:r>
        <w:rPr>
          <w:i w:val="0"/>
        </w:rPr>
        <w:t>The blood is not taken into the Holy Place as in the regular anointed-priest case of Leviticus 4:5–7. This inaugural rite follows the pattern used by Moses in Leviticus 8.</w:t>
      </w:r>
    </w:p>
    <w:p>
      <w:pPr>
        <w:pStyle w:val="Heading2"/>
      </w:pPr>
      <w:r>
        <w:t>Leviticus 9:12–14 — burnt offering</w:t>
      </w:r>
    </w:p>
    <w:p>
      <w:pPr/>
      <w:r>
        <w:rPr>
          <w:i w:val="0"/>
        </w:rPr>
        <w:t>Aaron kills the burnt offering, receives the blood from his sons and applies it around the altar. The pieces are presented in order, while inward parts and legs are washed before the whole offering ascends on the altar.</w:t>
      </w:r>
    </w:p>
    <w:p>
      <w:pPr>
        <w:pStyle w:val="Heading1"/>
      </w:pPr>
      <w:r>
        <w:t>THE PEOPLE’S OFFERINGS — LEVITICUS 9:15–21</w:t>
      </w:r>
    </w:p>
    <w:p>
      <w:pPr>
        <w:pStyle w:val="Heading2"/>
      </w:pPr>
      <w:r>
        <w:t>Leviticus 9:15–17 — sin, burnt and grain offerings</w:t>
      </w:r>
    </w:p>
    <w:p>
      <w:pPr/>
      <w:r>
        <w:rPr>
          <w:i w:val="0"/>
        </w:rPr>
        <w:t>Aaron next presents the people’s sin offering, then the burnt offering “according to the manner,” and then the grain offering. Mansfield’s sequence is useful: sin dealt with, life dedicated, and labour/service presented.</w:t>
      </w:r>
    </w:p>
    <w:p>
      <w:pPr>
        <w:pStyle w:val="Heading2"/>
      </w:pPr>
      <w:r>
        <w:t>Leviticus 9:18–21 — peace offerings and priestly portions</w:t>
      </w:r>
    </w:p>
    <w:p>
      <w:pPr/>
      <w:r>
        <w:rPr>
          <w:i w:val="0"/>
        </w:rPr>
        <w:t>The ox and ram of the peace offerings are slaughtered, blood is applied around the altar and the specified fat portions are burned. The breasts and right shoq are presented as the appointed wave/contribution portions.</w:t>
      </w:r>
    </w:p>
    <w:p>
      <w:pPr/>
      <w:r>
        <w:rPr>
          <w:i w:val="0"/>
        </w:rPr>
        <w:t>KJV “right shoulder” should again be read more precisely as the right leg/thigh portion; shoq is not the shoulder joint in modern anatomy.</w:t>
      </w:r>
    </w:p>
    <w:p>
      <w:pPr>
        <w:pStyle w:val="Heading1"/>
      </w:pPr>
      <w:r>
        <w:t>BLESSING, GLORY AND FIRE — LEVITICUS 9:22–24</w:t>
      </w:r>
    </w:p>
    <w:p>
      <w:pPr>
        <w:pStyle w:val="Heading2"/>
      </w:pPr>
      <w:r>
        <w:t>Leviticus 9:22 — Aaron blesses after sacrifice</w:t>
      </w:r>
    </w:p>
    <w:p>
      <w:pPr/>
      <w:r>
        <w:rPr>
          <w:i w:val="0"/>
        </w:rPr>
        <w:t>Aaron lifts his hands toward the people and blesses them, then comes down from completing the sin, burnt and peace offerings. Blessing follows an atonement-governed approach.</w:t>
      </w:r>
    </w:p>
    <w:p>
      <w:pPr>
        <w:pStyle w:val="Heading2"/>
      </w:pPr>
      <w:r>
        <w:t>Leviticus 9:23 — Moses and Aaron enter, then bless</w:t>
      </w:r>
    </w:p>
    <w:p>
      <w:pPr/>
      <w:r>
        <w:rPr>
          <w:i w:val="0"/>
        </w:rPr>
        <w:t>Moses and Aaron go into the Tent of Meeting, come out and bless the people; then the glory of Yahweh appears to all. The public manifestation authenticates the newly functioning priesthood and Yahweh’s acceptance of the commanded service.</w:t>
      </w:r>
    </w:p>
    <w:p>
      <w:pPr>
        <w:pStyle w:val="Heading2"/>
      </w:pPr>
      <w:r>
        <w:t>Leviticus 9:24 — fire consumes the accepted offering</w:t>
      </w:r>
    </w:p>
    <w:p>
      <w:pPr/>
      <w:r>
        <w:rPr>
          <w:i w:val="0"/>
        </w:rPr>
        <w:t>Fire comes out from before Yahweh and consumes the burnt offering and fat upon the altar. The people shout and fall on their faces.</w:t>
      </w:r>
    </w:p>
    <w:p>
      <w:pPr/>
      <w:r>
        <w:rPr>
          <w:i w:val="0"/>
        </w:rPr>
        <w:t>This Divinely sent fire forms the deliberate background to chapter 10: Yahweh’s fire accepts worship performed according to command, while Nadab and Abihu’s unauthorised fire brings judgment.</w:t>
      </w:r>
    </w:p>
    <w:p>
      <w:pPr>
        <w:pStyle w:val="Heading1"/>
      </w:pPr>
      <w:r>
        <w:t>PRINCIPAL THEMES</w:t>
      </w:r>
    </w:p>
    <w:p>
      <w:pPr>
        <w:ind w:left="259" w:hanging="202"/>
      </w:pPr>
      <w:r>
        <w:rPr>
          <w:b/>
        </w:rPr>
        <w:t xml:space="preserve">• </w:t>
      </w:r>
      <w:r>
        <w:t>The eighth day begins active priestly service after seven days of consecration.</w:t>
      </w:r>
    </w:p>
    <w:p>
      <w:pPr>
        <w:ind w:left="259" w:hanging="202"/>
      </w:pPr>
      <w:r>
        <w:rPr>
          <w:b/>
        </w:rPr>
        <w:t xml:space="preserve">• </w:t>
      </w:r>
      <w:r>
        <w:t>Aaron himself requires atonement before mediating for Israel.</w:t>
      </w:r>
    </w:p>
    <w:p>
      <w:pPr>
        <w:ind w:left="259" w:hanging="202"/>
      </w:pPr>
      <w:r>
        <w:rPr>
          <w:b/>
        </w:rPr>
        <w:t xml:space="preserve">• </w:t>
      </w:r>
      <w:r>
        <w:t>Israel approaches through sin, burnt, grain and peace offerings in Yahweh’s appointed order.</w:t>
      </w:r>
    </w:p>
    <w:p>
      <w:pPr>
        <w:ind w:left="259" w:hanging="202"/>
      </w:pPr>
      <w:r>
        <w:rPr>
          <w:b/>
        </w:rPr>
        <w:t xml:space="preserve">• </w:t>
      </w:r>
      <w:r>
        <w:t>KJV “right shoulder” is more accurately the right leg/thigh portion (shoq).</w:t>
      </w:r>
    </w:p>
    <w:p>
      <w:pPr>
        <w:ind w:left="259" w:hanging="202"/>
      </w:pPr>
      <w:r>
        <w:rPr>
          <w:b/>
        </w:rPr>
        <w:t xml:space="preserve">• </w:t>
      </w:r>
      <w:r>
        <w:t>Priestly blessing follows sacrificial approach.</w:t>
      </w:r>
    </w:p>
    <w:p>
      <w:pPr>
        <w:ind w:left="259" w:hanging="202"/>
      </w:pPr>
      <w:r>
        <w:rPr>
          <w:b/>
        </w:rPr>
        <w:t xml:space="preserve">• </w:t>
      </w:r>
      <w:r>
        <w:t>The appearing glory publicly authenticates the ministry.</w:t>
      </w:r>
    </w:p>
    <w:p>
      <w:pPr>
        <w:ind w:left="259" w:hanging="202"/>
      </w:pPr>
      <w:r>
        <w:rPr>
          <w:b/>
        </w:rPr>
        <w:t xml:space="preserve">• </w:t>
      </w:r>
      <w:r>
        <w:t>Fire from Yahweh confirms acceptance and prepares the contrast with Leviticus 10.</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9:1</w:t>
            </w:r>
          </w:p>
        </w:tc>
        <w:tc>
          <w:tcPr>
            <w:tcW w:type="dxa" w:w="3561"/>
            <w:vAlign w:val="top"/>
          </w:tcPr>
          <w:p>
            <w:pPr>
              <w:spacing w:after="0"/>
            </w:pPr>
            <w:r>
              <w:rPr>
                <w:rFonts w:ascii="Times New Roman" w:hAnsi="Times New Roman"/>
                <w:sz w:val="14"/>
              </w:rPr>
              <w:t>eighth day</w:t>
            </w:r>
          </w:p>
        </w:tc>
        <w:tc>
          <w:tcPr>
            <w:tcW w:type="dxa" w:w="3561"/>
            <w:vAlign w:val="top"/>
          </w:tcPr>
          <w:p>
            <w:pPr>
              <w:spacing w:after="0"/>
            </w:pPr>
            <w:r>
              <w:rPr>
                <w:rFonts w:ascii="Times New Roman" w:hAnsi="Times New Roman"/>
                <w:sz w:val="14"/>
              </w:rPr>
              <w:t>Literal day after seven-day consecration; new-beginning symbolism secondary.</w:t>
            </w:r>
          </w:p>
        </w:tc>
      </w:tr>
      <w:tr>
        <w:tc>
          <w:tcPr>
            <w:tcW w:type="dxa" w:w="3561"/>
            <w:vAlign w:val="top"/>
          </w:tcPr>
          <w:p>
            <w:pPr>
              <w:spacing w:after="0"/>
            </w:pPr>
            <w:r>
              <w:rPr>
                <w:rFonts w:ascii="Times New Roman" w:hAnsi="Times New Roman"/>
                <w:sz w:val="14"/>
              </w:rPr>
              <w:t>Lev. 9:2</w:t>
            </w:r>
          </w:p>
        </w:tc>
        <w:tc>
          <w:tcPr>
            <w:tcW w:type="dxa" w:w="3561"/>
            <w:vAlign w:val="top"/>
          </w:tcPr>
          <w:p>
            <w:pPr>
              <w:spacing w:after="0"/>
            </w:pPr>
            <w:r>
              <w:rPr>
                <w:rFonts w:ascii="Times New Roman" w:hAnsi="Times New Roman"/>
                <w:sz w:val="14"/>
              </w:rPr>
              <w:t>young calf/bull</w:t>
            </w:r>
          </w:p>
        </w:tc>
        <w:tc>
          <w:tcPr>
            <w:tcW w:type="dxa" w:w="3561"/>
            <w:vAlign w:val="top"/>
          </w:tcPr>
          <w:p>
            <w:pPr>
              <w:spacing w:after="0"/>
            </w:pPr>
            <w:r>
              <w:rPr>
                <w:rFonts w:ascii="Times New Roman" w:hAnsi="Times New Roman"/>
                <w:sz w:val="14"/>
              </w:rPr>
              <w:t>Aaron’s inaugural sin offering.</w:t>
            </w:r>
          </w:p>
        </w:tc>
      </w:tr>
      <w:tr>
        <w:tc>
          <w:tcPr>
            <w:tcW w:type="dxa" w:w="3561"/>
            <w:vAlign w:val="top"/>
          </w:tcPr>
          <w:p>
            <w:pPr>
              <w:spacing w:after="0"/>
            </w:pPr>
            <w:r>
              <w:rPr>
                <w:rFonts w:ascii="Times New Roman" w:hAnsi="Times New Roman"/>
                <w:sz w:val="14"/>
              </w:rPr>
              <w:t>Lev. 9:3–4</w:t>
            </w:r>
          </w:p>
        </w:tc>
        <w:tc>
          <w:tcPr>
            <w:tcW w:type="dxa" w:w="3561"/>
            <w:vAlign w:val="top"/>
          </w:tcPr>
          <w:p>
            <w:pPr>
              <w:spacing w:after="0"/>
            </w:pPr>
            <w:r>
              <w:rPr>
                <w:rFonts w:ascii="Times New Roman" w:hAnsi="Times New Roman"/>
                <w:sz w:val="14"/>
              </w:rPr>
              <w:t>people’s four offering types</w:t>
            </w:r>
          </w:p>
        </w:tc>
        <w:tc>
          <w:tcPr>
            <w:tcW w:type="dxa" w:w="3561"/>
            <w:vAlign w:val="top"/>
          </w:tcPr>
          <w:p>
            <w:pPr>
              <w:spacing w:after="0"/>
            </w:pPr>
            <w:r>
              <w:rPr>
                <w:rFonts w:ascii="Times New Roman" w:hAnsi="Times New Roman"/>
                <w:sz w:val="14"/>
              </w:rPr>
              <w:t>Sin, burnt, grain and peace offerings precede manifestation.</w:t>
            </w:r>
          </w:p>
        </w:tc>
      </w:tr>
      <w:tr>
        <w:tc>
          <w:tcPr>
            <w:tcW w:type="dxa" w:w="3561"/>
            <w:vAlign w:val="top"/>
          </w:tcPr>
          <w:p>
            <w:pPr>
              <w:spacing w:after="0"/>
            </w:pPr>
            <w:r>
              <w:rPr>
                <w:rFonts w:ascii="Times New Roman" w:hAnsi="Times New Roman"/>
                <w:sz w:val="14"/>
              </w:rPr>
              <w:t>Lev. 9:7</w:t>
            </w:r>
          </w:p>
        </w:tc>
        <w:tc>
          <w:tcPr>
            <w:tcW w:type="dxa" w:w="3561"/>
            <w:vAlign w:val="top"/>
          </w:tcPr>
          <w:p>
            <w:pPr>
              <w:spacing w:after="0"/>
            </w:pPr>
            <w:r>
              <w:rPr>
                <w:rFonts w:ascii="Times New Roman" w:hAnsi="Times New Roman"/>
                <w:sz w:val="14"/>
              </w:rPr>
              <w:t>atonement for Aaron and people</w:t>
            </w:r>
          </w:p>
        </w:tc>
        <w:tc>
          <w:tcPr>
            <w:tcW w:type="dxa" w:w="3561"/>
            <w:vAlign w:val="top"/>
          </w:tcPr>
          <w:p>
            <w:pPr>
              <w:spacing w:after="0"/>
            </w:pPr>
            <w:r>
              <w:rPr>
                <w:rFonts w:ascii="Times New Roman" w:hAnsi="Times New Roman"/>
                <w:sz w:val="14"/>
              </w:rPr>
              <w:t>Priestly office does not remove Aaron’s need for atonement.</w:t>
            </w:r>
          </w:p>
        </w:tc>
      </w:tr>
      <w:tr>
        <w:tc>
          <w:tcPr>
            <w:tcW w:type="dxa" w:w="3561"/>
            <w:vAlign w:val="top"/>
          </w:tcPr>
          <w:p>
            <w:pPr>
              <w:spacing w:after="0"/>
            </w:pPr>
            <w:r>
              <w:rPr>
                <w:rFonts w:ascii="Times New Roman" w:hAnsi="Times New Roman"/>
                <w:sz w:val="14"/>
              </w:rPr>
              <w:t>Lev. 9:9</w:t>
            </w:r>
          </w:p>
        </w:tc>
        <w:tc>
          <w:tcPr>
            <w:tcW w:type="dxa" w:w="3561"/>
            <w:vAlign w:val="top"/>
          </w:tcPr>
          <w:p>
            <w:pPr>
              <w:spacing w:after="0"/>
            </w:pPr>
            <w:r>
              <w:rPr>
                <w:rFonts w:ascii="Times New Roman" w:hAnsi="Times New Roman"/>
                <w:sz w:val="14"/>
              </w:rPr>
              <w:t>blood on outer altar</w:t>
            </w:r>
          </w:p>
        </w:tc>
        <w:tc>
          <w:tcPr>
            <w:tcW w:type="dxa" w:w="3561"/>
            <w:vAlign w:val="top"/>
          </w:tcPr>
          <w:p>
            <w:pPr>
              <w:spacing w:after="0"/>
            </w:pPr>
            <w:r>
              <w:rPr>
                <w:rFonts w:ascii="Times New Roman" w:hAnsi="Times New Roman"/>
                <w:sz w:val="14"/>
              </w:rPr>
              <w:t>Inaugural procedure follows Lev. 8 rather than inner-blood Lev. 4 priest case.</w:t>
            </w:r>
          </w:p>
        </w:tc>
      </w:tr>
      <w:tr>
        <w:tc>
          <w:tcPr>
            <w:tcW w:type="dxa" w:w="3561"/>
            <w:vAlign w:val="top"/>
          </w:tcPr>
          <w:p>
            <w:pPr>
              <w:spacing w:after="0"/>
            </w:pPr>
            <w:r>
              <w:rPr>
                <w:rFonts w:ascii="Times New Roman" w:hAnsi="Times New Roman"/>
                <w:sz w:val="14"/>
              </w:rPr>
              <w:t>Lev. 9:15</w:t>
            </w:r>
          </w:p>
        </w:tc>
        <w:tc>
          <w:tcPr>
            <w:tcW w:type="dxa" w:w="3561"/>
            <w:vAlign w:val="top"/>
          </w:tcPr>
          <w:p>
            <w:pPr>
              <w:spacing w:after="0"/>
            </w:pPr>
            <w:r>
              <w:rPr>
                <w:rFonts w:ascii="Times New Roman" w:hAnsi="Times New Roman"/>
                <w:sz w:val="14"/>
              </w:rPr>
              <w:t>people’s goat</w:t>
            </w:r>
          </w:p>
        </w:tc>
        <w:tc>
          <w:tcPr>
            <w:tcW w:type="dxa" w:w="3561"/>
            <w:vAlign w:val="top"/>
          </w:tcPr>
          <w:p>
            <w:pPr>
              <w:spacing w:after="0"/>
            </w:pPr>
            <w:r>
              <w:rPr>
                <w:rFonts w:ascii="Times New Roman" w:hAnsi="Times New Roman"/>
                <w:sz w:val="14"/>
              </w:rPr>
              <w:t>People’s sin offering presented first.</w:t>
            </w:r>
          </w:p>
        </w:tc>
      </w:tr>
      <w:tr>
        <w:tc>
          <w:tcPr>
            <w:tcW w:type="dxa" w:w="3561"/>
            <w:vAlign w:val="top"/>
          </w:tcPr>
          <w:p>
            <w:pPr>
              <w:spacing w:after="0"/>
            </w:pPr>
            <w:r>
              <w:rPr>
                <w:rFonts w:ascii="Times New Roman" w:hAnsi="Times New Roman"/>
                <w:sz w:val="14"/>
              </w:rPr>
              <w:t>Lev. 9:17</w:t>
            </w:r>
          </w:p>
        </w:tc>
        <w:tc>
          <w:tcPr>
            <w:tcW w:type="dxa" w:w="3561"/>
            <w:vAlign w:val="top"/>
          </w:tcPr>
          <w:p>
            <w:pPr>
              <w:spacing w:after="0"/>
            </w:pPr>
            <w:r>
              <w:rPr>
                <w:rFonts w:ascii="Times New Roman" w:hAnsi="Times New Roman"/>
                <w:sz w:val="14"/>
              </w:rPr>
              <w:t>grain offering</w:t>
            </w:r>
          </w:p>
        </w:tc>
        <w:tc>
          <w:tcPr>
            <w:tcW w:type="dxa" w:w="3561"/>
            <w:vAlign w:val="top"/>
          </w:tcPr>
          <w:p>
            <w:pPr>
              <w:spacing w:after="0"/>
            </w:pPr>
            <w:r>
              <w:rPr>
                <w:rFonts w:ascii="Times New Roman" w:hAnsi="Times New Roman"/>
                <w:sz w:val="14"/>
              </w:rPr>
              <w:t>KJV “meat offering” = meal/grain offering.</w:t>
            </w:r>
          </w:p>
        </w:tc>
      </w:tr>
      <w:tr>
        <w:tc>
          <w:tcPr>
            <w:tcW w:type="dxa" w:w="3561"/>
            <w:vAlign w:val="top"/>
          </w:tcPr>
          <w:p>
            <w:pPr>
              <w:spacing w:after="0"/>
            </w:pPr>
            <w:r>
              <w:rPr>
                <w:rFonts w:ascii="Times New Roman" w:hAnsi="Times New Roman"/>
                <w:sz w:val="14"/>
              </w:rPr>
              <w:t>Lev. 9:21</w:t>
            </w:r>
          </w:p>
        </w:tc>
        <w:tc>
          <w:tcPr>
            <w:tcW w:type="dxa" w:w="3561"/>
            <w:vAlign w:val="top"/>
          </w:tcPr>
          <w:p>
            <w:pPr>
              <w:spacing w:after="0"/>
            </w:pPr>
            <w:r>
              <w:rPr>
                <w:rFonts w:ascii="Times New Roman" w:hAnsi="Times New Roman"/>
                <w:sz w:val="14"/>
              </w:rPr>
              <w:t>shoq</w:t>
            </w:r>
          </w:p>
        </w:tc>
        <w:tc>
          <w:tcPr>
            <w:tcW w:type="dxa" w:w="3561"/>
            <w:vAlign w:val="top"/>
          </w:tcPr>
          <w:p>
            <w:pPr>
              <w:spacing w:after="0"/>
            </w:pPr>
            <w:r>
              <w:rPr>
                <w:rFonts w:ascii="Times New Roman" w:hAnsi="Times New Roman"/>
                <w:sz w:val="14"/>
              </w:rPr>
              <w:t>Right leg/thigh portion; KJV “shoulder” can mislead.</w:t>
            </w:r>
          </w:p>
        </w:tc>
      </w:tr>
      <w:tr>
        <w:tc>
          <w:tcPr>
            <w:tcW w:type="dxa" w:w="3561"/>
            <w:vAlign w:val="top"/>
          </w:tcPr>
          <w:p>
            <w:pPr>
              <w:spacing w:after="0"/>
            </w:pPr>
            <w:r>
              <w:rPr>
                <w:rFonts w:ascii="Times New Roman" w:hAnsi="Times New Roman"/>
                <w:sz w:val="14"/>
              </w:rPr>
              <w:t>Lev. 9:22</w:t>
            </w:r>
          </w:p>
        </w:tc>
        <w:tc>
          <w:tcPr>
            <w:tcW w:type="dxa" w:w="3561"/>
            <w:vAlign w:val="top"/>
          </w:tcPr>
          <w:p>
            <w:pPr>
              <w:spacing w:after="0"/>
            </w:pPr>
            <w:r>
              <w:rPr>
                <w:rFonts w:ascii="Times New Roman" w:hAnsi="Times New Roman"/>
                <w:sz w:val="14"/>
              </w:rPr>
              <w:t>hands lifted in blessing</w:t>
            </w:r>
          </w:p>
        </w:tc>
        <w:tc>
          <w:tcPr>
            <w:tcW w:type="dxa" w:w="3561"/>
            <w:vAlign w:val="top"/>
          </w:tcPr>
          <w:p>
            <w:pPr>
              <w:spacing w:after="0"/>
            </w:pPr>
            <w:r>
              <w:rPr>
                <w:rFonts w:ascii="Times New Roman" w:hAnsi="Times New Roman"/>
                <w:sz w:val="14"/>
              </w:rPr>
              <w:t>Blessing follows completed sacrificial ministry.</w:t>
            </w:r>
          </w:p>
        </w:tc>
      </w:tr>
      <w:tr>
        <w:tc>
          <w:tcPr>
            <w:tcW w:type="dxa" w:w="3561"/>
            <w:vAlign w:val="top"/>
          </w:tcPr>
          <w:p>
            <w:pPr>
              <w:spacing w:after="0"/>
            </w:pPr>
            <w:r>
              <w:rPr>
                <w:rFonts w:ascii="Times New Roman" w:hAnsi="Times New Roman"/>
                <w:sz w:val="14"/>
              </w:rPr>
              <w:t>Lev. 9:23</w:t>
            </w:r>
          </w:p>
        </w:tc>
        <w:tc>
          <w:tcPr>
            <w:tcW w:type="dxa" w:w="3561"/>
            <w:vAlign w:val="top"/>
          </w:tcPr>
          <w:p>
            <w:pPr>
              <w:spacing w:after="0"/>
            </w:pPr>
            <w:r>
              <w:rPr>
                <w:rFonts w:ascii="Times New Roman" w:hAnsi="Times New Roman"/>
                <w:sz w:val="14"/>
              </w:rPr>
              <w:t>glory appears</w:t>
            </w:r>
          </w:p>
        </w:tc>
        <w:tc>
          <w:tcPr>
            <w:tcW w:type="dxa" w:w="3561"/>
            <w:vAlign w:val="top"/>
          </w:tcPr>
          <w:p>
            <w:pPr>
              <w:spacing w:after="0"/>
            </w:pPr>
            <w:r>
              <w:rPr>
                <w:rFonts w:ascii="Times New Roman" w:hAnsi="Times New Roman"/>
                <w:sz w:val="14"/>
              </w:rPr>
              <w:t>Public Divine manifestation to all people.</w:t>
            </w:r>
          </w:p>
        </w:tc>
      </w:tr>
      <w:tr>
        <w:tc>
          <w:tcPr>
            <w:tcW w:type="dxa" w:w="3561"/>
            <w:vAlign w:val="top"/>
          </w:tcPr>
          <w:p>
            <w:pPr>
              <w:spacing w:after="0"/>
            </w:pPr>
            <w:r>
              <w:rPr>
                <w:rFonts w:ascii="Times New Roman" w:hAnsi="Times New Roman"/>
                <w:sz w:val="14"/>
              </w:rPr>
              <w:t>Lev. 9:24</w:t>
            </w:r>
          </w:p>
        </w:tc>
        <w:tc>
          <w:tcPr>
            <w:tcW w:type="dxa" w:w="3561"/>
            <w:vAlign w:val="top"/>
          </w:tcPr>
          <w:p>
            <w:pPr>
              <w:spacing w:after="0"/>
            </w:pPr>
            <w:r>
              <w:rPr>
                <w:rFonts w:ascii="Times New Roman" w:hAnsi="Times New Roman"/>
                <w:sz w:val="14"/>
              </w:rPr>
              <w:t>fire from before Yahweh</w:t>
            </w:r>
          </w:p>
        </w:tc>
        <w:tc>
          <w:tcPr>
            <w:tcW w:type="dxa" w:w="3561"/>
            <w:vAlign w:val="top"/>
          </w:tcPr>
          <w:p>
            <w:pPr>
              <w:spacing w:after="0"/>
            </w:pPr>
            <w:r>
              <w:rPr>
                <w:rFonts w:ascii="Times New Roman" w:hAnsi="Times New Roman"/>
                <w:sz w:val="14"/>
              </w:rPr>
              <w:t>Consumes accepted altar offering; immediate contrast with Lev. 10.</w:t>
            </w:r>
          </w:p>
        </w:tc>
      </w:tr>
    </w:tbl>
    <w:p>
      <w:pPr>
        <w:pStyle w:val="Heading1"/>
      </w:pPr>
      <w:r>
        <w:t>RESIDUAL UNCERTAINTIES</w:t>
      </w:r>
    </w:p>
    <w:p>
      <w:pPr/>
      <w:r>
        <w:rPr>
          <w:i w:val="0"/>
        </w:rPr>
        <w:t>The exact symbolic significance of the number eight and Mansfield’s millennial application are typological rather than explicit in the chapter. The reasons for some inaugural procedural differences from Leviticus 4 are not stated directly, so they should not be built into a rigid theory of Aaron’s changing status.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