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LEVITICUS 17</w:t>
      </w:r>
    </w:p>
    <w:p>
      <w:pPr>
        <w:pStyle w:val="Subtitle"/>
      </w:pPr>
      <w:r>
        <w:t>ONE APPOINTED ALTAR • NO RIVAL SACRIFICES • SACRIFICES TO GOAT-DEITIES FORBIDDEN • THE LIFE IS IN THE BLOOD • BLOOD GIVEN FOR ATONEMENT • HUNTED ANIMALS • ACCESS BECOMES WALK</w:t>
      </w:r>
    </w:p>
    <w:p>
      <w:pPr/>
      <w:r>
        <w:rPr>
          <w:i/>
        </w:rPr>
        <w:t>H. P. Mansfield Bible notes — checked and arranged in verse-by-verse Expositor style</w:t>
      </w:r>
    </w:p>
    <w:p>
      <w:pPr/>
      <w:r>
        <w:rPr>
          <w:i w:val="0"/>
        </w:rPr>
        <w:t>Source: HPB03, Leviticus 17 annotated pages</w:t>
      </w:r>
    </w:p>
    <w:p>
      <w:pPr>
        <w:pStyle w:val="Heading1"/>
      </w:pPr>
      <w:r>
        <w:t>CHAPTER OVERVIEW</w:t>
      </w:r>
    </w:p>
    <w:p>
      <w:pPr/>
      <w:r>
        <w:rPr>
          <w:i w:val="0"/>
        </w:rPr>
        <w:t>Leviticus 17 closes the great “access” movement of the first half of the book. Sacrificial blood must be brought to Yahweh’s appointed altar; private rival cults are prohibited; and blood is withheld from food because life belongs to God and blood has been assigned an atoning function.</w:t>
      </w:r>
    </w:p>
    <w:p>
      <w:pPr/>
      <w:r>
        <w:rPr>
          <w:i w:val="0"/>
        </w:rPr>
        <w:t>The chapter then forms a hinge. Fellowship established through sacrifice must issue in a holy walk, which chapters 18–27 develop in daily moral and covenant life.</w:t>
      </w:r>
    </w:p>
    <w:p>
      <w:pPr>
        <w:pStyle w:val="Heading1"/>
      </w:pPr>
      <w:r>
        <w:t>THE APPOINTED PLACE OF SACRIFICE — LEVITICUS 17:1–9</w:t>
      </w:r>
    </w:p>
    <w:p>
      <w:pPr>
        <w:pStyle w:val="Heading2"/>
      </w:pPr>
      <w:r>
        <w:t>Leviticus 17:1–4 — slaughter intended as sacrifice belongs at the Tent</w:t>
      </w:r>
    </w:p>
    <w:p>
      <w:pPr/>
      <w:r>
        <w:rPr>
          <w:i w:val="0"/>
        </w:rPr>
        <w:t>An ox, lamb or goat slaughtered as a sacrifice must be brought to the entrance of the Tent of Meeting and presented to Yahweh. A man who treats sacrificial blood independently of the appointed altar incurs bloodguilt.</w:t>
      </w:r>
    </w:p>
    <w:p>
      <w:pPr/>
      <w:r>
        <w:rPr>
          <w:i w:val="0"/>
        </w:rPr>
        <w:t>The wording is best read in the wilderness-sacrificial setting rather than as a permanent ban on all ordinary slaughter for food. Deuteronomy 12:15,20–24 later explicitly permits non-sacrificial slaughter in the land while retaining the blood prohibition.</w:t>
      </w:r>
    </w:p>
    <w:p>
      <w:pPr>
        <w:pStyle w:val="Heading2"/>
      </w:pPr>
      <w:r>
        <w:t>Leviticus 17:5–6 — scattered sacrifices are centralised</w:t>
      </w:r>
    </w:p>
    <w:p>
      <w:pPr/>
      <w:r>
        <w:rPr>
          <w:i w:val="0"/>
        </w:rPr>
        <w:t>Israel’s sacrifices previously made “in the open field” are to be brought to the priest. Blood is applied at Yahweh’s altar and designated fat is burned as a pleasing aroma. Centralisation protects covenant worship from competing rites.</w:t>
      </w:r>
    </w:p>
    <w:p>
      <w:pPr>
        <w:pStyle w:val="Heading2"/>
      </w:pPr>
      <w:r>
        <w:t>Leviticus 17:7 — no more sacrifices to se‘irim</w:t>
      </w:r>
    </w:p>
    <w:p>
      <w:pPr/>
      <w:r>
        <w:rPr>
          <w:i w:val="0"/>
        </w:rPr>
        <w:t>Israel must no longer sacrifice to se‘irim, literally “goat-like ones,” a term used for goat-shaped cultic beings/demons. KJV “devils” conveys the false-spirit character but is less precise lexically.</w:t>
      </w:r>
    </w:p>
    <w:p>
      <w:pPr/>
      <w:r>
        <w:rPr>
          <w:i w:val="0"/>
        </w:rPr>
        <w:t>The verse says Israel had gone “whoring” after them, using covenant-marriage language for idolatrous unfaithfulness. Exact reconstruction of Egyptian or wilderness goat cults is unnecessary.</w:t>
      </w:r>
    </w:p>
    <w:p>
      <w:pPr>
        <w:pStyle w:val="Heading2"/>
      </w:pPr>
      <w:r>
        <w:t>Leviticus 17:8–9 — resident stranger under same altar rule</w:t>
      </w:r>
    </w:p>
    <w:p>
      <w:pPr/>
      <w:r>
        <w:rPr>
          <w:i w:val="0"/>
        </w:rPr>
        <w:t>The Israelite and ger, resident sojourner, are equally forbidden to offer burnt/sacrificial offerings away from Yahweh’s appointed place. Covenant residence carries covenant worship obligations.</w:t>
      </w:r>
    </w:p>
    <w:p>
      <w:pPr>
        <w:pStyle w:val="Heading1"/>
      </w:pPr>
      <w:r>
        <w:t>THE SANCTITY OF BLOOD — LEVITICUS 17:10–14</w:t>
      </w:r>
    </w:p>
    <w:p>
      <w:pPr>
        <w:pStyle w:val="Heading2"/>
      </w:pPr>
      <w:r>
        <w:t>Leviticus 17:10–12 — “the life of the flesh is in the blood”</w:t>
      </w:r>
    </w:p>
    <w:p>
      <w:pPr/>
      <w:r>
        <w:rPr>
          <w:i w:val="0"/>
        </w:rPr>
        <w:t>Yahweh sets His face against a person who eats blood. Verse 11 gives the reason: nephesh habbasar badam hi — the life/person-life of the flesh is in the blood — and Yahweh has given the blood upon the altar to make atonement for the people’s nephesh/lives.</w:t>
      </w:r>
    </w:p>
    <w:p>
      <w:pPr/>
      <w:r>
        <w:rPr>
          <w:i w:val="0"/>
        </w:rPr>
        <w:t>The verse does not teach that an immortal soul is physically located in blood. Nephesh here is living life/person. Blood represents the creature’s life, which belongs to Yahweh and is assigned sacrificially for atonement.</w:t>
      </w:r>
    </w:p>
    <w:p>
      <w:pPr>
        <w:pStyle w:val="Heading2"/>
      </w:pPr>
      <w:r>
        <w:t>Leviticus 17:11 — blood atones by God’s appointment</w:t>
      </w:r>
    </w:p>
    <w:p>
      <w:pPr/>
      <w:r>
        <w:rPr>
          <w:i w:val="0"/>
        </w:rPr>
        <w:t>The final clause can be rendered that the blood makes atonement “by/through the life” (bannephesh). Its efficacy is not magical chemistry; Yahweh says, “I have given it to you upon the altar.” The atoning significance arises from Divine appointment to represent surrendered life.</w:t>
      </w:r>
    </w:p>
    <w:p>
      <w:pPr>
        <w:pStyle w:val="Heading2"/>
      </w:pPr>
      <w:r>
        <w:t>Leviticus 17:13–14 — hunted game: pour out and cover blood</w:t>
      </w:r>
    </w:p>
    <w:p>
      <w:pPr/>
      <w:r>
        <w:rPr>
          <w:i w:val="0"/>
        </w:rPr>
        <w:t>When a permitted animal or bird is hunted for food, its blood is poured out and covered with dust. The act acknowledges that the life taken is not the hunter’s autonomous possession.</w:t>
      </w:r>
    </w:p>
    <w:p>
      <w:pPr/>
      <w:r>
        <w:rPr>
          <w:i w:val="0"/>
        </w:rPr>
        <w:t>The reason is repeated: the blood of every creature is associated with its life. This explains the enduring seriousness with which Scripture treats blood.</w:t>
      </w:r>
    </w:p>
    <w:p>
      <w:pPr>
        <w:pStyle w:val="Heading1"/>
      </w:pPr>
      <w:r>
        <w:t>ANIMALS DYING NATURALLY OR TORN — LEVITICUS 17:15–16</w:t>
      </w:r>
    </w:p>
    <w:p>
      <w:pPr>
        <w:pStyle w:val="Heading2"/>
      </w:pPr>
      <w:r>
        <w:t>Leviticus 17:15–16 — wash and remain unclean until evening</w:t>
      </w:r>
    </w:p>
    <w:p>
      <w:pPr/>
      <w:r>
        <w:rPr>
          <w:i w:val="0"/>
        </w:rPr>
        <w:t>A citizen or resident stranger who eats an animal that died of itself or was torn washes clothes, bathes and remains unclean until evening. Failure to wash leaves the person bearing iniquity.</w:t>
      </w:r>
    </w:p>
    <w:p>
      <w:pPr/>
      <w:r>
        <w:rPr>
          <w:i w:val="0"/>
        </w:rPr>
        <w:t>This complements rather than contradicts Deuteronomy 14:21, where an Israelite is told not to eat such carcass meat and may give/sell it to a foreigner outside Israel’s holy dietary identity; the passages address differing covenant situations/categories.</w:t>
      </w:r>
    </w:p>
    <w:p>
      <w:pPr>
        <w:pStyle w:val="Heading1"/>
      </w:pPr>
      <w:r>
        <w:t>FROM ACCESS TO WALK</w:t>
      </w:r>
    </w:p>
    <w:p>
      <w:pPr>
        <w:pStyle w:val="Heading2"/>
      </w:pPr>
      <w:r>
        <w:t>Leviticus 17 → 18–27</w:t>
      </w:r>
    </w:p>
    <w:p>
      <w:pPr/>
      <w:r>
        <w:rPr>
          <w:i w:val="0"/>
        </w:rPr>
        <w:t>Mansfield’s structural transition is useful: chapters 1–17 establish God-appointed access and purification; chapters 18–27 emphasise the obligations of those who enjoy that fellowship. Sacrifice and ethics are therefore not separate religions.</w:t>
      </w:r>
    </w:p>
    <w:p>
      <w:pPr>
        <w:pStyle w:val="Heading1"/>
      </w:pPr>
      <w:r>
        <w:t>PRINCIPAL THEMES</w:t>
      </w:r>
    </w:p>
    <w:p>
      <w:pPr>
        <w:ind w:left="259" w:hanging="202"/>
      </w:pPr>
      <w:r>
        <w:rPr>
          <w:b/>
        </w:rPr>
        <w:t xml:space="preserve">• </w:t>
      </w:r>
      <w:r>
        <w:t>Sacrificial worship is centred on Yahweh’s appointed altar rather than private rival rites.</w:t>
      </w:r>
    </w:p>
    <w:p>
      <w:pPr>
        <w:ind w:left="259" w:hanging="202"/>
      </w:pPr>
      <w:r>
        <w:rPr>
          <w:b/>
        </w:rPr>
        <w:t xml:space="preserve">• </w:t>
      </w:r>
      <w:r>
        <w:t>Leviticus 17 should not be read as a permanent ban on every ordinary slaughter; Deuteronomy 12 clarifies later food slaughter.</w:t>
      </w:r>
    </w:p>
    <w:p>
      <w:pPr>
        <w:ind w:left="259" w:hanging="202"/>
      </w:pPr>
      <w:r>
        <w:rPr>
          <w:b/>
        </w:rPr>
        <w:t xml:space="preserve">• </w:t>
      </w:r>
      <w:r>
        <w:t>Se‘irim are goat-like cultic beings; KJV “devils” is interpretive rather than a precise zoological term.</w:t>
      </w:r>
    </w:p>
    <w:p>
      <w:pPr>
        <w:ind w:left="259" w:hanging="202"/>
      </w:pPr>
      <w:r>
        <w:rPr>
          <w:b/>
        </w:rPr>
        <w:t xml:space="preserve">• </w:t>
      </w:r>
      <w:r>
        <w:t>Nephesh in the blood means creature-life/person-life, not an immortal soul.</w:t>
      </w:r>
    </w:p>
    <w:p>
      <w:pPr>
        <w:ind w:left="259" w:hanging="202"/>
      </w:pPr>
      <w:r>
        <w:rPr>
          <w:b/>
        </w:rPr>
        <w:t xml:space="preserve">• </w:t>
      </w:r>
      <w:r>
        <w:t>Blood is holy because life belongs to Yahweh and He has appointed blood for altar atonement.</w:t>
      </w:r>
    </w:p>
    <w:p>
      <w:pPr>
        <w:ind w:left="259" w:hanging="202"/>
      </w:pPr>
      <w:r>
        <w:rPr>
          <w:b/>
        </w:rPr>
        <w:t xml:space="preserve">• </w:t>
      </w:r>
      <w:r>
        <w:t>Hunted blood is poured out and covered as acknowledgement of God’s ownership of life.</w:t>
      </w:r>
    </w:p>
    <w:p>
      <w:pPr>
        <w:ind w:left="259" w:hanging="202"/>
      </w:pPr>
      <w:r>
        <w:rPr>
          <w:b/>
        </w:rPr>
        <w:t xml:space="preserve">• </w:t>
      </w:r>
      <w:r>
        <w:t>Established fellowship through sacrifice must issue in a separated walk.</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pPr>
            <w:r>
              <w:rPr>
                <w:rFonts w:ascii="Times New Roman" w:hAnsi="Times New Roman"/>
                <w:sz w:val="14"/>
              </w:rPr>
              <w:t>Lev. 17:3–4</w:t>
            </w:r>
          </w:p>
        </w:tc>
        <w:tc>
          <w:tcPr>
            <w:tcW w:type="dxa" w:w="3561"/>
            <w:vAlign w:val="top"/>
          </w:tcPr>
          <w:p>
            <w:pPr>
              <w:spacing w:after="0"/>
            </w:pPr>
            <w:r>
              <w:rPr>
                <w:rFonts w:ascii="Times New Roman" w:hAnsi="Times New Roman"/>
                <w:sz w:val="14"/>
              </w:rPr>
              <w:t>sacrificial slaughter context</w:t>
            </w:r>
          </w:p>
        </w:tc>
        <w:tc>
          <w:tcPr>
            <w:tcW w:type="dxa" w:w="3561"/>
            <w:vAlign w:val="top"/>
          </w:tcPr>
          <w:p>
            <w:pPr>
              <w:spacing w:after="0"/>
            </w:pPr>
            <w:r>
              <w:rPr>
                <w:rFonts w:ascii="Times New Roman" w:hAnsi="Times New Roman"/>
                <w:sz w:val="14"/>
              </w:rPr>
              <w:t>Deut. 12:15,20–24 later permits ordinary slaughter while blood remains forbidden.</w:t>
            </w:r>
          </w:p>
        </w:tc>
      </w:tr>
      <w:tr>
        <w:tc>
          <w:tcPr>
            <w:tcW w:type="dxa" w:w="3561"/>
            <w:vAlign w:val="top"/>
          </w:tcPr>
          <w:p>
            <w:pPr>
              <w:spacing w:after="0"/>
            </w:pPr>
            <w:r>
              <w:rPr>
                <w:rFonts w:ascii="Times New Roman" w:hAnsi="Times New Roman"/>
                <w:sz w:val="14"/>
              </w:rPr>
              <w:t>Lev. 17:5–6</w:t>
            </w:r>
          </w:p>
        </w:tc>
        <w:tc>
          <w:tcPr>
            <w:tcW w:type="dxa" w:w="3561"/>
            <w:vAlign w:val="top"/>
          </w:tcPr>
          <w:p>
            <w:pPr>
              <w:spacing w:after="0"/>
            </w:pPr>
            <w:r>
              <w:rPr>
                <w:rFonts w:ascii="Times New Roman" w:hAnsi="Times New Roman"/>
                <w:sz w:val="14"/>
              </w:rPr>
              <w:t>one appointed altar</w:t>
            </w:r>
          </w:p>
        </w:tc>
        <w:tc>
          <w:tcPr>
            <w:tcW w:type="dxa" w:w="3561"/>
            <w:vAlign w:val="top"/>
          </w:tcPr>
          <w:p>
            <w:pPr>
              <w:spacing w:after="0"/>
            </w:pPr>
            <w:r>
              <w:rPr>
                <w:rFonts w:ascii="Times New Roman" w:hAnsi="Times New Roman"/>
                <w:sz w:val="14"/>
              </w:rPr>
              <w:t>Wilderness sacrifices centralised at Tent of Meeting.</w:t>
            </w:r>
          </w:p>
        </w:tc>
      </w:tr>
      <w:tr>
        <w:tc>
          <w:tcPr>
            <w:tcW w:type="dxa" w:w="3561"/>
            <w:vAlign w:val="top"/>
          </w:tcPr>
          <w:p>
            <w:pPr>
              <w:spacing w:after="0"/>
            </w:pPr>
            <w:r>
              <w:rPr>
                <w:rFonts w:ascii="Times New Roman" w:hAnsi="Times New Roman"/>
                <w:sz w:val="14"/>
              </w:rPr>
              <w:t>Lev. 17:7</w:t>
            </w:r>
          </w:p>
        </w:tc>
        <w:tc>
          <w:tcPr>
            <w:tcW w:type="dxa" w:w="3561"/>
            <w:vAlign w:val="top"/>
          </w:tcPr>
          <w:p>
            <w:pPr>
              <w:spacing w:after="0"/>
            </w:pPr>
            <w:r>
              <w:rPr>
                <w:rFonts w:ascii="Times New Roman" w:hAnsi="Times New Roman"/>
                <w:sz w:val="14"/>
              </w:rPr>
              <w:t>se‘irim</w:t>
            </w:r>
          </w:p>
        </w:tc>
        <w:tc>
          <w:tcPr>
            <w:tcW w:type="dxa" w:w="3561"/>
            <w:vAlign w:val="top"/>
          </w:tcPr>
          <w:p>
            <w:pPr>
              <w:spacing w:after="0"/>
            </w:pPr>
            <w:r>
              <w:rPr>
                <w:rFonts w:ascii="Times New Roman" w:hAnsi="Times New Roman"/>
                <w:sz w:val="14"/>
              </w:rPr>
              <w:t>Goat-like cultic beings/demons; KJV “devils” is broad.</w:t>
            </w:r>
          </w:p>
        </w:tc>
      </w:tr>
      <w:tr>
        <w:tc>
          <w:tcPr>
            <w:tcW w:type="dxa" w:w="3561"/>
            <w:vAlign w:val="top"/>
          </w:tcPr>
          <w:p>
            <w:pPr>
              <w:spacing w:after="0"/>
            </w:pPr>
            <w:r>
              <w:rPr>
                <w:rFonts w:ascii="Times New Roman" w:hAnsi="Times New Roman"/>
                <w:sz w:val="14"/>
              </w:rPr>
              <w:t>Lev. 17:8</w:t>
            </w:r>
          </w:p>
        </w:tc>
        <w:tc>
          <w:tcPr>
            <w:tcW w:type="dxa" w:w="3561"/>
            <w:vAlign w:val="top"/>
          </w:tcPr>
          <w:p>
            <w:pPr>
              <w:spacing w:after="0"/>
            </w:pPr>
            <w:r>
              <w:rPr>
                <w:rFonts w:ascii="Times New Roman" w:hAnsi="Times New Roman"/>
                <w:sz w:val="14"/>
              </w:rPr>
              <w:t>ger</w:t>
            </w:r>
          </w:p>
        </w:tc>
        <w:tc>
          <w:tcPr>
            <w:tcW w:type="dxa" w:w="3561"/>
            <w:vAlign w:val="top"/>
          </w:tcPr>
          <w:p>
            <w:pPr>
              <w:spacing w:after="0"/>
            </w:pPr>
            <w:r>
              <w:rPr>
                <w:rFonts w:ascii="Times New Roman" w:hAnsi="Times New Roman"/>
                <w:sz w:val="14"/>
              </w:rPr>
              <w:t>Resident sojourner under covenant worship rule.</w:t>
            </w:r>
          </w:p>
        </w:tc>
      </w:tr>
      <w:tr>
        <w:tc>
          <w:tcPr>
            <w:tcW w:type="dxa" w:w="3561"/>
            <w:vAlign w:val="top"/>
          </w:tcPr>
          <w:p>
            <w:pPr>
              <w:spacing w:after="0"/>
            </w:pPr>
            <w:r>
              <w:rPr>
                <w:rFonts w:ascii="Times New Roman" w:hAnsi="Times New Roman"/>
                <w:sz w:val="14"/>
              </w:rPr>
              <w:t>Lev. 17:10</w:t>
            </w:r>
          </w:p>
        </w:tc>
        <w:tc>
          <w:tcPr>
            <w:tcW w:type="dxa" w:w="3561"/>
            <w:vAlign w:val="top"/>
          </w:tcPr>
          <w:p>
            <w:pPr>
              <w:spacing w:after="0"/>
            </w:pPr>
            <w:r>
              <w:rPr>
                <w:rFonts w:ascii="Times New Roman" w:hAnsi="Times New Roman"/>
                <w:sz w:val="14"/>
              </w:rPr>
              <w:t>God sets face against blood-eater</w:t>
            </w:r>
          </w:p>
        </w:tc>
        <w:tc>
          <w:tcPr>
            <w:tcW w:type="dxa" w:w="3561"/>
            <w:vAlign w:val="top"/>
          </w:tcPr>
          <w:p>
            <w:pPr>
              <w:spacing w:after="0"/>
            </w:pPr>
            <w:r>
              <w:rPr>
                <w:rFonts w:ascii="Times New Roman" w:hAnsi="Times New Roman"/>
                <w:sz w:val="14"/>
              </w:rPr>
              <w:t>Blood prohibition explicitly severe.</w:t>
            </w:r>
          </w:p>
        </w:tc>
      </w:tr>
      <w:tr>
        <w:tc>
          <w:tcPr>
            <w:tcW w:type="dxa" w:w="3561"/>
            <w:vAlign w:val="top"/>
          </w:tcPr>
          <w:p>
            <w:pPr>
              <w:spacing w:after="0"/>
            </w:pPr>
            <w:r>
              <w:rPr>
                <w:rFonts w:ascii="Times New Roman" w:hAnsi="Times New Roman"/>
                <w:sz w:val="14"/>
              </w:rPr>
              <w:t>Lev. 17:11</w:t>
            </w:r>
          </w:p>
        </w:tc>
        <w:tc>
          <w:tcPr>
            <w:tcW w:type="dxa" w:w="3561"/>
            <w:vAlign w:val="top"/>
          </w:tcPr>
          <w:p>
            <w:pPr>
              <w:spacing w:after="0"/>
            </w:pPr>
            <w:r>
              <w:rPr>
                <w:rFonts w:ascii="Times New Roman" w:hAnsi="Times New Roman"/>
                <w:sz w:val="14"/>
              </w:rPr>
              <w:t>nephesh habbasar</w:t>
            </w:r>
          </w:p>
        </w:tc>
        <w:tc>
          <w:tcPr>
            <w:tcW w:type="dxa" w:w="3561"/>
            <w:vAlign w:val="top"/>
          </w:tcPr>
          <w:p>
            <w:pPr>
              <w:spacing w:after="0"/>
            </w:pPr>
            <w:r>
              <w:rPr>
                <w:rFonts w:ascii="Times New Roman" w:hAnsi="Times New Roman"/>
                <w:sz w:val="14"/>
              </w:rPr>
              <w:t>Life of the flesh/creature, not immortal soul.</w:t>
            </w:r>
          </w:p>
        </w:tc>
      </w:tr>
      <w:tr>
        <w:tc>
          <w:tcPr>
            <w:tcW w:type="dxa" w:w="3561"/>
            <w:vAlign w:val="top"/>
          </w:tcPr>
          <w:p>
            <w:pPr>
              <w:spacing w:after="0"/>
            </w:pPr>
            <w:r>
              <w:rPr>
                <w:rFonts w:ascii="Times New Roman" w:hAnsi="Times New Roman"/>
                <w:sz w:val="14"/>
              </w:rPr>
              <w:t>Lev. 17:11</w:t>
            </w:r>
          </w:p>
        </w:tc>
        <w:tc>
          <w:tcPr>
            <w:tcW w:type="dxa" w:w="3561"/>
            <w:vAlign w:val="top"/>
          </w:tcPr>
          <w:p>
            <w:pPr>
              <w:spacing w:after="0"/>
            </w:pPr>
            <w:r>
              <w:rPr>
                <w:rFonts w:ascii="Times New Roman" w:hAnsi="Times New Roman"/>
                <w:sz w:val="14"/>
              </w:rPr>
              <w:t>“I have given it … for atonement”</w:t>
            </w:r>
          </w:p>
        </w:tc>
        <w:tc>
          <w:tcPr>
            <w:tcW w:type="dxa" w:w="3561"/>
            <w:vAlign w:val="top"/>
          </w:tcPr>
          <w:p>
            <w:pPr>
              <w:spacing w:after="0"/>
            </w:pPr>
            <w:r>
              <w:rPr>
                <w:rFonts w:ascii="Times New Roman" w:hAnsi="Times New Roman"/>
                <w:sz w:val="14"/>
              </w:rPr>
              <w:t>Atoning use rests on Divine appointment.</w:t>
            </w:r>
          </w:p>
        </w:tc>
      </w:tr>
      <w:tr>
        <w:tc>
          <w:tcPr>
            <w:tcW w:type="dxa" w:w="3561"/>
            <w:vAlign w:val="top"/>
          </w:tcPr>
          <w:p>
            <w:pPr>
              <w:spacing w:after="0"/>
            </w:pPr>
            <w:r>
              <w:rPr>
                <w:rFonts w:ascii="Times New Roman" w:hAnsi="Times New Roman"/>
                <w:sz w:val="14"/>
              </w:rPr>
              <w:t>Lev. 17:11</w:t>
            </w:r>
          </w:p>
        </w:tc>
        <w:tc>
          <w:tcPr>
            <w:tcW w:type="dxa" w:w="3561"/>
            <w:vAlign w:val="top"/>
          </w:tcPr>
          <w:p>
            <w:pPr>
              <w:spacing w:after="0"/>
            </w:pPr>
            <w:r>
              <w:rPr>
                <w:rFonts w:ascii="Times New Roman" w:hAnsi="Times New Roman"/>
                <w:sz w:val="14"/>
              </w:rPr>
              <w:t>bannephesh</w:t>
            </w:r>
          </w:p>
        </w:tc>
        <w:tc>
          <w:tcPr>
            <w:tcW w:type="dxa" w:w="3561"/>
            <w:vAlign w:val="top"/>
          </w:tcPr>
          <w:p>
            <w:pPr>
              <w:spacing w:after="0"/>
            </w:pPr>
            <w:r>
              <w:rPr>
                <w:rFonts w:ascii="Times New Roman" w:hAnsi="Times New Roman"/>
                <w:sz w:val="14"/>
              </w:rPr>
              <w:t>By/through the life; syntax supports life-representation concept.</w:t>
            </w:r>
          </w:p>
        </w:tc>
      </w:tr>
      <w:tr>
        <w:tc>
          <w:tcPr>
            <w:tcW w:type="dxa" w:w="3561"/>
            <w:vAlign w:val="top"/>
          </w:tcPr>
          <w:p>
            <w:pPr>
              <w:spacing w:after="0"/>
            </w:pPr>
            <w:r>
              <w:rPr>
                <w:rFonts w:ascii="Times New Roman" w:hAnsi="Times New Roman"/>
                <w:sz w:val="14"/>
              </w:rPr>
              <w:t>Lev. 17:13</w:t>
            </w:r>
          </w:p>
        </w:tc>
        <w:tc>
          <w:tcPr>
            <w:tcW w:type="dxa" w:w="3561"/>
            <w:vAlign w:val="top"/>
          </w:tcPr>
          <w:p>
            <w:pPr>
              <w:spacing w:after="0"/>
            </w:pPr>
            <w:r>
              <w:rPr>
                <w:rFonts w:ascii="Times New Roman" w:hAnsi="Times New Roman"/>
                <w:sz w:val="14"/>
              </w:rPr>
              <w:t>pour out + cover with dust</w:t>
            </w:r>
          </w:p>
        </w:tc>
        <w:tc>
          <w:tcPr>
            <w:tcW w:type="dxa" w:w="3561"/>
            <w:vAlign w:val="top"/>
          </w:tcPr>
          <w:p>
            <w:pPr>
              <w:spacing w:after="0"/>
            </w:pPr>
            <w:r>
              <w:rPr>
                <w:rFonts w:ascii="Times New Roman" w:hAnsi="Times New Roman"/>
                <w:sz w:val="14"/>
              </w:rPr>
              <w:t>Hunted game blood returned to earth.</w:t>
            </w:r>
          </w:p>
        </w:tc>
      </w:tr>
      <w:tr>
        <w:tc>
          <w:tcPr>
            <w:tcW w:type="dxa" w:w="3561"/>
            <w:vAlign w:val="top"/>
          </w:tcPr>
          <w:p>
            <w:pPr>
              <w:spacing w:after="0"/>
            </w:pPr>
            <w:r>
              <w:rPr>
                <w:rFonts w:ascii="Times New Roman" w:hAnsi="Times New Roman"/>
                <w:sz w:val="14"/>
              </w:rPr>
              <w:t>Lev. 17:14</w:t>
            </w:r>
          </w:p>
        </w:tc>
        <w:tc>
          <w:tcPr>
            <w:tcW w:type="dxa" w:w="3561"/>
            <w:vAlign w:val="top"/>
          </w:tcPr>
          <w:p>
            <w:pPr>
              <w:spacing w:after="0"/>
            </w:pPr>
            <w:r>
              <w:rPr>
                <w:rFonts w:ascii="Times New Roman" w:hAnsi="Times New Roman"/>
                <w:sz w:val="14"/>
              </w:rPr>
              <w:t>blood is its life</w:t>
            </w:r>
          </w:p>
        </w:tc>
        <w:tc>
          <w:tcPr>
            <w:tcW w:type="dxa" w:w="3561"/>
            <w:vAlign w:val="top"/>
          </w:tcPr>
          <w:p>
            <w:pPr>
              <w:spacing w:after="0"/>
            </w:pPr>
            <w:r>
              <w:rPr>
                <w:rFonts w:ascii="Times New Roman" w:hAnsi="Times New Roman"/>
                <w:sz w:val="14"/>
              </w:rPr>
              <w:t>Reason for prohibition repeated.</w:t>
            </w:r>
          </w:p>
        </w:tc>
      </w:tr>
      <w:tr>
        <w:tc>
          <w:tcPr>
            <w:tcW w:type="dxa" w:w="3561"/>
            <w:vAlign w:val="top"/>
          </w:tcPr>
          <w:p>
            <w:pPr>
              <w:spacing w:after="0"/>
            </w:pPr>
            <w:r>
              <w:rPr>
                <w:rFonts w:ascii="Times New Roman" w:hAnsi="Times New Roman"/>
                <w:sz w:val="14"/>
              </w:rPr>
              <w:t>Lev. 17:15–16</w:t>
            </w:r>
          </w:p>
        </w:tc>
        <w:tc>
          <w:tcPr>
            <w:tcW w:type="dxa" w:w="3561"/>
            <w:vAlign w:val="top"/>
          </w:tcPr>
          <w:p>
            <w:pPr>
              <w:spacing w:after="0"/>
            </w:pPr>
            <w:r>
              <w:rPr>
                <w:rFonts w:ascii="Times New Roman" w:hAnsi="Times New Roman"/>
                <w:sz w:val="14"/>
              </w:rPr>
              <w:t>carcass/torn animal</w:t>
            </w:r>
          </w:p>
        </w:tc>
        <w:tc>
          <w:tcPr>
            <w:tcW w:type="dxa" w:w="3561"/>
            <w:vAlign w:val="top"/>
          </w:tcPr>
          <w:p>
            <w:pPr>
              <w:spacing w:after="0"/>
            </w:pPr>
            <w:r>
              <w:rPr>
                <w:rFonts w:ascii="Times New Roman" w:hAnsi="Times New Roman"/>
                <w:sz w:val="14"/>
              </w:rPr>
              <w:t>Temporary uncleanness and washing after eating.</w:t>
            </w:r>
          </w:p>
        </w:tc>
      </w:tr>
      <w:tr>
        <w:tc>
          <w:tcPr>
            <w:tcW w:type="dxa" w:w="3561"/>
            <w:vAlign w:val="top"/>
          </w:tcPr>
          <w:p>
            <w:pPr>
              <w:spacing w:after="0"/>
            </w:pPr>
            <w:r>
              <w:rPr>
                <w:rFonts w:ascii="Times New Roman" w:hAnsi="Times New Roman"/>
                <w:sz w:val="14"/>
              </w:rPr>
              <w:t>Deut. 14:21</w:t>
            </w:r>
          </w:p>
        </w:tc>
        <w:tc>
          <w:tcPr>
            <w:tcW w:type="dxa" w:w="3561"/>
            <w:vAlign w:val="top"/>
          </w:tcPr>
          <w:p>
            <w:pPr>
              <w:spacing w:after="0"/>
            </w:pPr>
            <w:r>
              <w:rPr>
                <w:rFonts w:ascii="Times New Roman" w:hAnsi="Times New Roman"/>
                <w:sz w:val="14"/>
              </w:rPr>
              <w:t>carcass law parallel</w:t>
            </w:r>
          </w:p>
        </w:tc>
        <w:tc>
          <w:tcPr>
            <w:tcW w:type="dxa" w:w="3561"/>
            <w:vAlign w:val="top"/>
          </w:tcPr>
          <w:p>
            <w:pPr>
              <w:spacing w:after="0"/>
            </w:pPr>
            <w:r>
              <w:rPr>
                <w:rFonts w:ascii="Times New Roman" w:hAnsi="Times New Roman"/>
                <w:sz w:val="14"/>
              </w:rPr>
              <w:t>Different covenant recipient categories/context; does not negate Lev. 17 purification rule.</w:t>
            </w:r>
          </w:p>
        </w:tc>
      </w:tr>
    </w:tbl>
    <w:p>
      <w:pPr>
        <w:pStyle w:val="Heading1"/>
      </w:pPr>
      <w:r>
        <w:t>RESIDUAL UNCERTAINTIES</w:t>
      </w:r>
    </w:p>
    <w:p>
      <w:pPr/>
      <w:r>
        <w:rPr>
          <w:i w:val="0"/>
        </w:rPr>
        <w:t>The precise historical identity of the se‘irim cult is uncertain and should not be over-reconstructed. Leviticus 17:3–4 has generated debate over sacrificial versus all slaughter in the wilderness, but Deuteronomy 12 clearly distinguishes later ordinary slaughter from sacrifice. Mansfield’s “access/walk” division is structural exposition rather than an inspired chapter heading.</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LEVITICUS 17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