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18</w:t>
      </w:r>
    </w:p>
    <w:p>
      <w:pPr>
        <w:pStyle w:val="Subtitle"/>
      </w:pPr>
      <w:r>
        <w:t>NOT EGYPT OR CANAAN • “I AM YAHWEH YOUR GOD” • NEAR-KIN BOUNDARIES • ADULTERY • MOLECH • PROHIBITED SEXUAL ACTS • THE LAND VOMITS OUT DEFILEMENT</w:t>
      </w:r>
    </w:p>
    <w:p>
      <w:pPr/>
      <w:r>
        <w:rPr>
          <w:i/>
        </w:rPr>
        <w:t>H. P. Mansfield Bible notes — checked and arranged in verse-by-verse Expositor style</w:t>
      </w:r>
    </w:p>
    <w:p>
      <w:pPr/>
      <w:r>
        <w:rPr>
          <w:i w:val="0"/>
        </w:rPr>
        <w:t>Source: HPB03, Leviticus 18 annotated pages</w:t>
      </w:r>
    </w:p>
    <w:p>
      <w:pPr>
        <w:pStyle w:val="Heading1"/>
      </w:pPr>
      <w:r>
        <w:t>CHAPTER OVERVIEW</w:t>
      </w:r>
    </w:p>
    <w:p>
      <w:pPr/>
      <w:r>
        <w:rPr>
          <w:i w:val="0"/>
        </w:rPr>
        <w:t>Leviticus 18 begins the “walk” section by grounding conduct in covenant identity: Israel must not imitate Egypt behind them or Canaan before them. Yahweh, not surrounding culture, defines the sexual and family boundaries of His people.</w:t>
      </w:r>
    </w:p>
    <w:p>
      <w:pPr/>
      <w:r>
        <w:rPr>
          <w:i w:val="0"/>
        </w:rPr>
        <w:t>The chapter is legal and moral rather than a catalogue for speculative ancient anthropology. It identifies prohibited kinship relations, adultery, Molech worship, male same-sex intercourse and bestiality, then warns that Israel will face the same judgment as Canaan if it reproduces Canaan’s practices.</w:t>
      </w:r>
    </w:p>
    <w:p>
      <w:pPr>
        <w:pStyle w:val="Heading1"/>
      </w:pPr>
      <w:r>
        <w:t>YAHWEH’S STANDARD — LEVITICUS 18:1–5</w:t>
      </w:r>
    </w:p>
    <w:p>
      <w:pPr>
        <w:pStyle w:val="Heading2"/>
      </w:pPr>
      <w:r>
        <w:t>Leviticus 18:1–4 — neither Egypt nor Canaan</w:t>
      </w:r>
    </w:p>
    <w:p>
      <w:pPr/>
      <w:r>
        <w:rPr>
          <w:i w:val="0"/>
        </w:rPr>
        <w:t>The repeated “I am Yahweh your God” grounds Israel’s conduct in the Redeemer’s authority. They are not to walk in Egyptian or Canaanite statutes but in Yahweh’s mishpatim and chuqqoth—judgments and statutes.</w:t>
      </w:r>
    </w:p>
    <w:p>
      <w:pPr/>
      <w:r>
        <w:rPr>
          <w:i w:val="0"/>
        </w:rPr>
        <w:t>Separation is therefore positive allegiance, not mere cultural contrarianism.</w:t>
      </w:r>
    </w:p>
    <w:p>
      <w:pPr>
        <w:pStyle w:val="Heading2"/>
      </w:pPr>
      <w:r>
        <w:t>Leviticus 18:5 — “which if a man do, he shall live in them”</w:t>
      </w:r>
    </w:p>
    <w:p>
      <w:pPr/>
      <w:r>
        <w:rPr>
          <w:i w:val="0"/>
        </w:rPr>
        <w:t>Israel is told to keep Yahweh’s statutes and judgments, “which if a man do, he shall live in them.” Paul quotes this wording in Romans 10:5 and Galatians 3:12 when contrasting the law’s doing-principle with justification by faith.</w:t>
      </w:r>
    </w:p>
    <w:p>
      <w:pPr/>
      <w:r>
        <w:rPr>
          <w:i w:val="0"/>
        </w:rPr>
        <w:t>The verse describes covenant life under Yahweh’s ordinances; it should not be made to teach inherent immortality through legal performance.</w:t>
      </w:r>
    </w:p>
    <w:p>
      <w:pPr>
        <w:pStyle w:val="Heading1"/>
      </w:pPr>
      <w:r>
        <w:t>NEAR-KIN SEXUAL BOUNDARIES — LEVITICUS 18:6–18</w:t>
      </w:r>
    </w:p>
    <w:p>
      <w:pPr>
        <w:pStyle w:val="Heading2"/>
      </w:pPr>
      <w:r>
        <w:t>Leviticus 18:6 — “uncover nakedness”</w:t>
      </w:r>
    </w:p>
    <w:p>
      <w:pPr/>
      <w:r>
        <w:rPr>
          <w:i w:val="0"/>
        </w:rPr>
        <w:t>“Uncover the nakedness” is a Hebrew sexual euphemism for sexual relations, not merely accidental visual exposure. She’er besaro denotes close flesh/near kin.</w:t>
      </w:r>
    </w:p>
    <w:p>
      <w:pPr>
        <w:pStyle w:val="Heading2"/>
      </w:pPr>
      <w:r>
        <w:t>Leviticus 18:7–17 — prohibited close relationships</w:t>
      </w:r>
    </w:p>
    <w:p>
      <w:pPr/>
      <w:r>
        <w:rPr>
          <w:i w:val="0"/>
        </w:rPr>
        <w:t>The law names mother, father’s wife, sister/half-sister, granddaughter, paternal or maternal aunt, uncle’s wife, daughter-in-law, brother’s wife, and a woman together with her daughter or granddaughter. The exact kinship logic varies by case, but the common principle is protected family boundaries.</w:t>
      </w:r>
    </w:p>
    <w:p>
      <w:pPr/>
      <w:r>
        <w:rPr>
          <w:i w:val="0"/>
        </w:rPr>
        <w:t>The prohibition of a brother’s wife is later qualified by the specific levirate duty of Deuteronomy 25:5–10 when a brother dies childless; Scripture itself supplies that exceptional covenant case.</w:t>
      </w:r>
    </w:p>
    <w:p>
      <w:pPr>
        <w:pStyle w:val="Heading2"/>
      </w:pPr>
      <w:r>
        <w:t>Leviticus 18:18 — wife’s sister as rival while wife lives</w:t>
      </w:r>
    </w:p>
    <w:p>
      <w:pPr/>
      <w:r>
        <w:rPr>
          <w:i w:val="0"/>
        </w:rPr>
        <w:t>A man must not take a woman “to her sister, to vex her” during the first wife’s lifetime. The wording naturally forbids adding the sister as a rival co-wife while the wife lives; it should not be extended beyond the verse into an unqualified ban on marrying a deceased wife’s sister.</w:t>
      </w:r>
    </w:p>
    <w:p>
      <w:pPr/>
      <w:r>
        <w:rPr>
          <w:i w:val="0"/>
        </w:rPr>
        <w:t>The tragedy of Rachel and Leah provides historical background to the kind of rivalry the law prevents, but the law—not the patriarchal precedent—governs Israel here.</w:t>
      </w:r>
    </w:p>
    <w:p>
      <w:pPr>
        <w:pStyle w:val="Heading1"/>
      </w:pPr>
      <w:r>
        <w:t>OTHER PROHIBITED ACTS — LEVITICUS 18:19–23</w:t>
      </w:r>
    </w:p>
    <w:p>
      <w:pPr>
        <w:pStyle w:val="Heading2"/>
      </w:pPr>
      <w:r>
        <w:t>Leviticus 18:19 — intercourse during menstrual impurity</w:t>
      </w:r>
    </w:p>
    <w:p>
      <w:pPr/>
      <w:r>
        <w:rPr>
          <w:i w:val="0"/>
        </w:rPr>
        <w:t>Sexual intercourse during niddah is prohibited, continuing the bodily-purity distinction of Leviticus 15 and now expressing it as a direct sexual prohibition.</w:t>
      </w:r>
    </w:p>
    <w:p>
      <w:pPr>
        <w:pStyle w:val="Heading2"/>
      </w:pPr>
      <w:r>
        <w:t>Leviticus 18:20 — adultery</w:t>
      </w:r>
    </w:p>
    <w:p>
      <w:pPr/>
      <w:r>
        <w:rPr>
          <w:i w:val="0"/>
        </w:rPr>
        <w:t>Sexual relations with a neighbour’s wife defile both marriage covenant and neighbour relationship. The prohibition protects the existing marital bond.</w:t>
      </w:r>
    </w:p>
    <w:p>
      <w:pPr>
        <w:pStyle w:val="Heading2"/>
      </w:pPr>
      <w:r>
        <w:t>Leviticus 18:21 — offspring given to Molech</w:t>
      </w:r>
    </w:p>
    <w:p>
      <w:pPr/>
      <w:r>
        <w:rPr>
          <w:i w:val="0"/>
        </w:rPr>
        <w:t>Israel must not give offspring “to pass over to Molech” and thereby profane Yahweh’s Name. The exact ritual mechanism is not fully described in this verse, but wider texts such as 2 Kings 23:10 and Jeremiah 32:35 connect Molech/Molech-like rites with child sacrifice through fire.</w:t>
      </w:r>
    </w:p>
    <w:p>
      <w:pPr/>
      <w:r>
        <w:rPr>
          <w:i w:val="0"/>
        </w:rPr>
        <w:t>It is therefore safer to speak of a Molech child-offering rite than to invent detailed ceremonial mechanics.</w:t>
      </w:r>
    </w:p>
    <w:p>
      <w:pPr>
        <w:pStyle w:val="Heading2"/>
      </w:pPr>
      <w:r>
        <w:t>Leviticus 18:22–23 — male same-sex intercourse and bestiality</w:t>
      </w:r>
    </w:p>
    <w:p>
      <w:pPr/>
      <w:r>
        <w:rPr>
          <w:i w:val="0"/>
        </w:rPr>
        <w:t>Verse 22 prohibits a male lying with a male “as the lyings of a woman”; the act is called to‘evah, an abhorrent/prohibited practice in this covenant context. Verse 23 prohibits human-animal sexual intercourse for both sexes.</w:t>
      </w:r>
    </w:p>
    <w:p>
      <w:pPr/>
      <w:r>
        <w:rPr>
          <w:i w:val="0"/>
        </w:rPr>
        <w:t>The verses regulate acts. They should be expounded accurately without turning the text into permission for contempt or mistreatment of people.</w:t>
      </w:r>
    </w:p>
    <w:p>
      <w:pPr>
        <w:pStyle w:val="Heading1"/>
      </w:pPr>
      <w:r>
        <w:t>THE LAND AND JUDGMENT — LEVITICUS 18:24–30</w:t>
      </w:r>
    </w:p>
    <w:p>
      <w:pPr>
        <w:pStyle w:val="Heading2"/>
      </w:pPr>
      <w:r>
        <w:t>Leviticus 18:24–25 — the nations defiled the land</w:t>
      </w:r>
    </w:p>
    <w:p>
      <w:pPr/>
      <w:r>
        <w:rPr>
          <w:i w:val="0"/>
        </w:rPr>
        <w:t>Israel is told that the preceding practices defiled the Canaanite nations and the land, and Yahweh “visits” its iniquity upon it. The land is personified as vomiting out inhabitants.</w:t>
      </w:r>
    </w:p>
    <w:p>
      <w:pPr>
        <w:pStyle w:val="Heading2"/>
      </w:pPr>
      <w:r>
        <w:t>Leviticus 18:26–29 — Israel is not exempt</w:t>
      </w:r>
    </w:p>
    <w:p>
      <w:pPr/>
      <w:r>
        <w:rPr>
          <w:i w:val="0"/>
        </w:rPr>
        <w:t>Citizen and resident stranger must avoid these practices. Anyone committing the listed abominations incurs covenant judgment. Election does not provide immunity when Israel imitates the nations it displaces.</w:t>
      </w:r>
    </w:p>
    <w:p>
      <w:pPr>
        <w:pStyle w:val="Heading2"/>
      </w:pPr>
      <w:r>
        <w:t>Leviticus 18:30 — keep Yahweh’s charge</w:t>
      </w:r>
    </w:p>
    <w:p>
      <w:pPr/>
      <w:r>
        <w:rPr>
          <w:i w:val="0"/>
        </w:rPr>
        <w:t>The chapter closes by calling Israel to keep Yahweh’s mishmereth, charge/guard, and not practise the abominable customs before them. “I am Yahweh your God” remains the final ground of holiness.</w:t>
      </w:r>
    </w:p>
    <w:p>
      <w:pPr>
        <w:pStyle w:val="Heading1"/>
      </w:pPr>
      <w:r>
        <w:t>PRINCIPAL THEMES</w:t>
      </w:r>
    </w:p>
    <w:p>
      <w:pPr>
        <w:ind w:left="259" w:hanging="202"/>
      </w:pPr>
      <w:r>
        <w:rPr>
          <w:b/>
        </w:rPr>
        <w:t xml:space="preserve">• </w:t>
      </w:r>
      <w:r>
        <w:t>Redeemed people are not to take Egypt or Canaan as their moral standard.</w:t>
      </w:r>
    </w:p>
    <w:p>
      <w:pPr>
        <w:ind w:left="259" w:hanging="202"/>
      </w:pPr>
      <w:r>
        <w:rPr>
          <w:b/>
        </w:rPr>
        <w:t xml:space="preserve">• </w:t>
      </w:r>
      <w:r>
        <w:t>Leviticus 18:5 is quoted in Romans 10 and Galatians 3 in discussion of law and faith.</w:t>
      </w:r>
    </w:p>
    <w:p>
      <w:pPr>
        <w:ind w:left="259" w:hanging="202"/>
      </w:pPr>
      <w:r>
        <w:rPr>
          <w:b/>
        </w:rPr>
        <w:t xml:space="preserve">• </w:t>
      </w:r>
      <w:r>
        <w:t>“Uncover nakedness” functions as a sexual euphemism in these kinship laws.</w:t>
      </w:r>
    </w:p>
    <w:p>
      <w:pPr>
        <w:ind w:left="259" w:hanging="202"/>
      </w:pPr>
      <w:r>
        <w:rPr>
          <w:b/>
        </w:rPr>
        <w:t xml:space="preserve">• </w:t>
      </w:r>
      <w:r>
        <w:t>Close-family boundaries are protected, with Scripture itself providing the levirate exception to the brother’s-wife rule.</w:t>
      </w:r>
    </w:p>
    <w:p>
      <w:pPr>
        <w:ind w:left="259" w:hanging="202"/>
      </w:pPr>
      <w:r>
        <w:rPr>
          <w:b/>
        </w:rPr>
        <w:t xml:space="preserve">• </w:t>
      </w:r>
      <w:r>
        <w:t>Verse 18 forbids taking a wife’s sister as a rival while the wife is living.</w:t>
      </w:r>
    </w:p>
    <w:p>
      <w:pPr>
        <w:ind w:left="259" w:hanging="202"/>
      </w:pPr>
      <w:r>
        <w:rPr>
          <w:b/>
        </w:rPr>
        <w:t xml:space="preserve">• </w:t>
      </w:r>
      <w:r>
        <w:t>Molech worship involves giving offspring in an idolatrous rite; detailed mechanics should not be invented.</w:t>
      </w:r>
    </w:p>
    <w:p>
      <w:pPr>
        <w:ind w:left="259" w:hanging="202"/>
      </w:pPr>
      <w:r>
        <w:rPr>
          <w:b/>
        </w:rPr>
        <w:t xml:space="preserve">• </w:t>
      </w:r>
      <w:r>
        <w:t>The chapter prohibits male same-sex intercourse and bestiality while giving no warrant for hatred of persons.</w:t>
      </w:r>
    </w:p>
    <w:p>
      <w:pPr>
        <w:ind w:left="259" w:hanging="202"/>
      </w:pPr>
      <w:r>
        <w:rPr>
          <w:b/>
        </w:rPr>
        <w:t xml:space="preserve">• </w:t>
      </w:r>
      <w:r>
        <w:t>Israel can be expelled from the land if it reproduces Canaan’s conduct.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18:3–4</w:t>
            </w:r>
          </w:p>
        </w:tc>
        <w:tc>
          <w:tcPr>
            <w:tcW w:type="dxa" w:w="3561"/>
            <w:vAlign w:val="top"/>
          </w:tcPr>
          <w:p>
            <w:pPr>
              <w:spacing w:after="0"/>
            </w:pPr>
            <w:r>
              <w:rPr>
                <w:rFonts w:ascii="Times New Roman" w:hAnsi="Times New Roman"/>
                <w:sz w:val="14"/>
              </w:rPr>
              <w:t>Egypt/Canaan vs Yahweh</w:t>
            </w:r>
          </w:p>
        </w:tc>
        <w:tc>
          <w:tcPr>
            <w:tcW w:type="dxa" w:w="3561"/>
            <w:vAlign w:val="top"/>
          </w:tcPr>
          <w:p>
            <w:pPr>
              <w:spacing w:after="0"/>
            </w:pPr>
            <w:r>
              <w:rPr>
                <w:rFonts w:ascii="Times New Roman" w:hAnsi="Times New Roman"/>
                <w:sz w:val="14"/>
              </w:rPr>
              <w:t>Covenant identity, not surrounding custom, governs conduct.</w:t>
            </w:r>
          </w:p>
        </w:tc>
      </w:tr>
      <w:tr>
        <w:tc>
          <w:tcPr>
            <w:tcW w:type="dxa" w:w="3561"/>
            <w:vAlign w:val="top"/>
          </w:tcPr>
          <w:p>
            <w:pPr>
              <w:spacing w:after="0"/>
            </w:pPr>
            <w:r>
              <w:rPr>
                <w:rFonts w:ascii="Times New Roman" w:hAnsi="Times New Roman"/>
                <w:sz w:val="14"/>
              </w:rPr>
              <w:t>Lev. 18:5</w:t>
            </w:r>
          </w:p>
        </w:tc>
        <w:tc>
          <w:tcPr>
            <w:tcW w:type="dxa" w:w="3561"/>
            <w:vAlign w:val="top"/>
          </w:tcPr>
          <w:p>
            <w:pPr>
              <w:spacing w:after="0"/>
            </w:pPr>
            <w:r>
              <w:rPr>
                <w:rFonts w:ascii="Times New Roman" w:hAnsi="Times New Roman"/>
                <w:sz w:val="14"/>
              </w:rPr>
              <w:t>“live in them”</w:t>
            </w:r>
          </w:p>
        </w:tc>
        <w:tc>
          <w:tcPr>
            <w:tcW w:type="dxa" w:w="3561"/>
            <w:vAlign w:val="top"/>
          </w:tcPr>
          <w:p>
            <w:pPr>
              <w:spacing w:after="0"/>
            </w:pPr>
            <w:r>
              <w:rPr>
                <w:rFonts w:ascii="Times New Roman" w:hAnsi="Times New Roman"/>
                <w:sz w:val="14"/>
              </w:rPr>
              <w:t>Quoted Rom. 10:5; Gal. 3:12.</w:t>
            </w:r>
          </w:p>
        </w:tc>
      </w:tr>
      <w:tr>
        <w:tc>
          <w:tcPr>
            <w:tcW w:type="dxa" w:w="3561"/>
            <w:vAlign w:val="top"/>
          </w:tcPr>
          <w:p>
            <w:pPr>
              <w:spacing w:after="0"/>
            </w:pPr>
            <w:r>
              <w:rPr>
                <w:rFonts w:ascii="Times New Roman" w:hAnsi="Times New Roman"/>
                <w:sz w:val="14"/>
              </w:rPr>
              <w:t>Lev. 18:6</w:t>
            </w:r>
          </w:p>
        </w:tc>
        <w:tc>
          <w:tcPr>
            <w:tcW w:type="dxa" w:w="3561"/>
            <w:vAlign w:val="top"/>
          </w:tcPr>
          <w:p>
            <w:pPr>
              <w:spacing w:after="0"/>
            </w:pPr>
            <w:r>
              <w:rPr>
                <w:rFonts w:ascii="Times New Roman" w:hAnsi="Times New Roman"/>
                <w:sz w:val="14"/>
              </w:rPr>
              <w:t>uncover nakedness</w:t>
            </w:r>
          </w:p>
        </w:tc>
        <w:tc>
          <w:tcPr>
            <w:tcW w:type="dxa" w:w="3561"/>
            <w:vAlign w:val="top"/>
          </w:tcPr>
          <w:p>
            <w:pPr>
              <w:spacing w:after="0"/>
            </w:pPr>
            <w:r>
              <w:rPr>
                <w:rFonts w:ascii="Times New Roman" w:hAnsi="Times New Roman"/>
                <w:sz w:val="14"/>
              </w:rPr>
              <w:t>Sexual euphemism in kinship context.</w:t>
            </w:r>
          </w:p>
        </w:tc>
      </w:tr>
      <w:tr>
        <w:tc>
          <w:tcPr>
            <w:tcW w:type="dxa" w:w="3561"/>
            <w:vAlign w:val="top"/>
          </w:tcPr>
          <w:p>
            <w:pPr>
              <w:spacing w:after="0"/>
            </w:pPr>
            <w:r>
              <w:rPr>
                <w:rFonts w:ascii="Times New Roman" w:hAnsi="Times New Roman"/>
                <w:sz w:val="14"/>
              </w:rPr>
              <w:t>Lev. 18:6</w:t>
            </w:r>
          </w:p>
        </w:tc>
        <w:tc>
          <w:tcPr>
            <w:tcW w:type="dxa" w:w="3561"/>
            <w:vAlign w:val="top"/>
          </w:tcPr>
          <w:p>
            <w:pPr>
              <w:spacing w:after="0"/>
            </w:pPr>
            <w:r>
              <w:rPr>
                <w:rFonts w:ascii="Times New Roman" w:hAnsi="Times New Roman"/>
                <w:sz w:val="14"/>
              </w:rPr>
              <w:t>she’er basar</w:t>
            </w:r>
          </w:p>
        </w:tc>
        <w:tc>
          <w:tcPr>
            <w:tcW w:type="dxa" w:w="3561"/>
            <w:vAlign w:val="top"/>
          </w:tcPr>
          <w:p>
            <w:pPr>
              <w:spacing w:after="0"/>
            </w:pPr>
            <w:r>
              <w:rPr>
                <w:rFonts w:ascii="Times New Roman" w:hAnsi="Times New Roman"/>
                <w:sz w:val="14"/>
              </w:rPr>
              <w:t>Near flesh/close kin.</w:t>
            </w:r>
          </w:p>
        </w:tc>
      </w:tr>
      <w:tr>
        <w:tc>
          <w:tcPr>
            <w:tcW w:type="dxa" w:w="3561"/>
            <w:vAlign w:val="top"/>
          </w:tcPr>
          <w:p>
            <w:pPr>
              <w:spacing w:after="0"/>
            </w:pPr>
            <w:r>
              <w:rPr>
                <w:rFonts w:ascii="Times New Roman" w:hAnsi="Times New Roman"/>
                <w:sz w:val="14"/>
              </w:rPr>
              <w:t>Lev. 18:16</w:t>
            </w:r>
          </w:p>
        </w:tc>
        <w:tc>
          <w:tcPr>
            <w:tcW w:type="dxa" w:w="3561"/>
            <w:vAlign w:val="top"/>
          </w:tcPr>
          <w:p>
            <w:pPr>
              <w:spacing w:after="0"/>
            </w:pPr>
            <w:r>
              <w:rPr>
                <w:rFonts w:ascii="Times New Roman" w:hAnsi="Times New Roman"/>
                <w:sz w:val="14"/>
              </w:rPr>
              <w:t>brother’s wife</w:t>
            </w:r>
          </w:p>
        </w:tc>
        <w:tc>
          <w:tcPr>
            <w:tcW w:type="dxa" w:w="3561"/>
            <w:vAlign w:val="top"/>
          </w:tcPr>
          <w:p>
            <w:pPr>
              <w:spacing w:after="0"/>
            </w:pPr>
            <w:r>
              <w:rPr>
                <w:rFonts w:ascii="Times New Roman" w:hAnsi="Times New Roman"/>
                <w:sz w:val="14"/>
              </w:rPr>
              <w:t>General prohibition; Deut. 25:5–10 provides childless-widow levirate exception.</w:t>
            </w:r>
          </w:p>
        </w:tc>
      </w:tr>
      <w:tr>
        <w:tc>
          <w:tcPr>
            <w:tcW w:type="dxa" w:w="3561"/>
            <w:vAlign w:val="top"/>
          </w:tcPr>
          <w:p>
            <w:pPr>
              <w:spacing w:after="0"/>
            </w:pPr>
            <w:r>
              <w:rPr>
                <w:rFonts w:ascii="Times New Roman" w:hAnsi="Times New Roman"/>
                <w:sz w:val="14"/>
              </w:rPr>
              <w:t>Lev. 18:18</w:t>
            </w:r>
          </w:p>
        </w:tc>
        <w:tc>
          <w:tcPr>
            <w:tcW w:type="dxa" w:w="3561"/>
            <w:vAlign w:val="top"/>
          </w:tcPr>
          <w:p>
            <w:pPr>
              <w:spacing w:after="0"/>
            </w:pPr>
            <w:r>
              <w:rPr>
                <w:rFonts w:ascii="Times New Roman" w:hAnsi="Times New Roman"/>
                <w:sz w:val="14"/>
              </w:rPr>
              <w:t>wife’s sister while wife lives</w:t>
            </w:r>
          </w:p>
        </w:tc>
        <w:tc>
          <w:tcPr>
            <w:tcW w:type="dxa" w:w="3561"/>
            <w:vAlign w:val="top"/>
          </w:tcPr>
          <w:p>
            <w:pPr>
              <w:spacing w:after="0"/>
            </w:pPr>
            <w:r>
              <w:rPr>
                <w:rFonts w:ascii="Times New Roman" w:hAnsi="Times New Roman"/>
                <w:sz w:val="14"/>
              </w:rPr>
              <w:t>Rival co-wife prohibition during first wife’s lifetime.</w:t>
            </w:r>
          </w:p>
        </w:tc>
      </w:tr>
      <w:tr>
        <w:tc>
          <w:tcPr>
            <w:tcW w:type="dxa" w:w="3561"/>
            <w:vAlign w:val="top"/>
          </w:tcPr>
          <w:p>
            <w:pPr>
              <w:spacing w:after="0"/>
            </w:pPr>
            <w:r>
              <w:rPr>
                <w:rFonts w:ascii="Times New Roman" w:hAnsi="Times New Roman"/>
                <w:sz w:val="14"/>
              </w:rPr>
              <w:t>Lev. 18:19</w:t>
            </w:r>
          </w:p>
        </w:tc>
        <w:tc>
          <w:tcPr>
            <w:tcW w:type="dxa" w:w="3561"/>
            <w:vAlign w:val="top"/>
          </w:tcPr>
          <w:p>
            <w:pPr>
              <w:spacing w:after="0"/>
            </w:pPr>
            <w:r>
              <w:rPr>
                <w:rFonts w:ascii="Times New Roman" w:hAnsi="Times New Roman"/>
                <w:sz w:val="14"/>
              </w:rPr>
              <w:t>niddah</w:t>
            </w:r>
          </w:p>
        </w:tc>
        <w:tc>
          <w:tcPr>
            <w:tcW w:type="dxa" w:w="3561"/>
            <w:vAlign w:val="top"/>
          </w:tcPr>
          <w:p>
            <w:pPr>
              <w:spacing w:after="0"/>
            </w:pPr>
            <w:r>
              <w:rPr>
                <w:rFonts w:ascii="Times New Roman" w:hAnsi="Times New Roman"/>
                <w:sz w:val="14"/>
              </w:rPr>
              <w:t>Menstrual impurity; intercourse prohibited.</w:t>
            </w:r>
          </w:p>
        </w:tc>
      </w:tr>
      <w:tr>
        <w:tc>
          <w:tcPr>
            <w:tcW w:type="dxa" w:w="3561"/>
            <w:vAlign w:val="top"/>
          </w:tcPr>
          <w:p>
            <w:pPr>
              <w:spacing w:after="0"/>
            </w:pPr>
            <w:r>
              <w:rPr>
                <w:rFonts w:ascii="Times New Roman" w:hAnsi="Times New Roman"/>
                <w:sz w:val="14"/>
              </w:rPr>
              <w:t>Lev. 18:20</w:t>
            </w:r>
          </w:p>
        </w:tc>
        <w:tc>
          <w:tcPr>
            <w:tcW w:type="dxa" w:w="3561"/>
            <w:vAlign w:val="top"/>
          </w:tcPr>
          <w:p>
            <w:pPr>
              <w:spacing w:after="0"/>
            </w:pPr>
            <w:r>
              <w:rPr>
                <w:rFonts w:ascii="Times New Roman" w:hAnsi="Times New Roman"/>
                <w:sz w:val="14"/>
              </w:rPr>
              <w:t>adultery</w:t>
            </w:r>
          </w:p>
        </w:tc>
        <w:tc>
          <w:tcPr>
            <w:tcW w:type="dxa" w:w="3561"/>
            <w:vAlign w:val="top"/>
          </w:tcPr>
          <w:p>
            <w:pPr>
              <w:spacing w:after="0"/>
            </w:pPr>
            <w:r>
              <w:rPr>
                <w:rFonts w:ascii="Times New Roman" w:hAnsi="Times New Roman"/>
                <w:sz w:val="14"/>
              </w:rPr>
              <w:t>Neighbour’s wife protected by covenant boundary.</w:t>
            </w:r>
          </w:p>
        </w:tc>
      </w:tr>
      <w:tr>
        <w:tc>
          <w:tcPr>
            <w:tcW w:type="dxa" w:w="3561"/>
            <w:vAlign w:val="top"/>
          </w:tcPr>
          <w:p>
            <w:pPr>
              <w:spacing w:after="0"/>
            </w:pPr>
            <w:r>
              <w:rPr>
                <w:rFonts w:ascii="Times New Roman" w:hAnsi="Times New Roman"/>
                <w:sz w:val="14"/>
              </w:rPr>
              <w:t>Lev. 18:21</w:t>
            </w:r>
          </w:p>
        </w:tc>
        <w:tc>
          <w:tcPr>
            <w:tcW w:type="dxa" w:w="3561"/>
            <w:vAlign w:val="top"/>
          </w:tcPr>
          <w:p>
            <w:pPr>
              <w:spacing w:after="0"/>
            </w:pPr>
            <w:r>
              <w:rPr>
                <w:rFonts w:ascii="Times New Roman" w:hAnsi="Times New Roman"/>
                <w:sz w:val="14"/>
              </w:rPr>
              <w:t>Molech</w:t>
            </w:r>
          </w:p>
        </w:tc>
        <w:tc>
          <w:tcPr>
            <w:tcW w:type="dxa" w:w="3561"/>
            <w:vAlign w:val="top"/>
          </w:tcPr>
          <w:p>
            <w:pPr>
              <w:spacing w:after="0"/>
            </w:pPr>
            <w:r>
              <w:rPr>
                <w:rFonts w:ascii="Times New Roman" w:hAnsi="Times New Roman"/>
                <w:sz w:val="14"/>
              </w:rPr>
              <w:t>Offspring given in idolatrous rite; compare 2 Kgs. 23:10; Jer. 32:35.</w:t>
            </w:r>
          </w:p>
        </w:tc>
      </w:tr>
      <w:tr>
        <w:tc>
          <w:tcPr>
            <w:tcW w:type="dxa" w:w="3561"/>
            <w:vAlign w:val="top"/>
          </w:tcPr>
          <w:p>
            <w:pPr>
              <w:spacing w:after="0"/>
            </w:pPr>
            <w:r>
              <w:rPr>
                <w:rFonts w:ascii="Times New Roman" w:hAnsi="Times New Roman"/>
                <w:sz w:val="14"/>
              </w:rPr>
              <w:t>Lev. 18:22</w:t>
            </w:r>
          </w:p>
        </w:tc>
        <w:tc>
          <w:tcPr>
            <w:tcW w:type="dxa" w:w="3561"/>
            <w:vAlign w:val="top"/>
          </w:tcPr>
          <w:p>
            <w:pPr>
              <w:spacing w:after="0"/>
            </w:pPr>
            <w:r>
              <w:rPr>
                <w:rFonts w:ascii="Times New Roman" w:hAnsi="Times New Roman"/>
                <w:sz w:val="14"/>
              </w:rPr>
              <w:t>male-male intercourse</w:t>
            </w:r>
          </w:p>
        </w:tc>
        <w:tc>
          <w:tcPr>
            <w:tcW w:type="dxa" w:w="3561"/>
            <w:vAlign w:val="top"/>
          </w:tcPr>
          <w:p>
            <w:pPr>
              <w:spacing w:after="0"/>
            </w:pPr>
            <w:r>
              <w:rPr>
                <w:rFonts w:ascii="Times New Roman" w:hAnsi="Times New Roman"/>
                <w:sz w:val="14"/>
              </w:rPr>
              <w:t>Act explicitly prohibited; to‘evah describes prohibited/abhorrent act.</w:t>
            </w:r>
          </w:p>
        </w:tc>
      </w:tr>
      <w:tr>
        <w:tc>
          <w:tcPr>
            <w:tcW w:type="dxa" w:w="3561"/>
            <w:vAlign w:val="top"/>
          </w:tcPr>
          <w:p>
            <w:pPr>
              <w:spacing w:after="0"/>
            </w:pPr>
            <w:r>
              <w:rPr>
                <w:rFonts w:ascii="Times New Roman" w:hAnsi="Times New Roman"/>
                <w:sz w:val="14"/>
              </w:rPr>
              <w:t>Lev. 18:23</w:t>
            </w:r>
          </w:p>
        </w:tc>
        <w:tc>
          <w:tcPr>
            <w:tcW w:type="dxa" w:w="3561"/>
            <w:vAlign w:val="top"/>
          </w:tcPr>
          <w:p>
            <w:pPr>
              <w:spacing w:after="0"/>
            </w:pPr>
            <w:r>
              <w:rPr>
                <w:rFonts w:ascii="Times New Roman" w:hAnsi="Times New Roman"/>
                <w:sz w:val="14"/>
              </w:rPr>
              <w:t>bestiality</w:t>
            </w:r>
          </w:p>
        </w:tc>
        <w:tc>
          <w:tcPr>
            <w:tcW w:type="dxa" w:w="3561"/>
            <w:vAlign w:val="top"/>
          </w:tcPr>
          <w:p>
            <w:pPr>
              <w:spacing w:after="0"/>
            </w:pPr>
            <w:r>
              <w:rPr>
                <w:rFonts w:ascii="Times New Roman" w:hAnsi="Times New Roman"/>
                <w:sz w:val="14"/>
              </w:rPr>
              <w:t>Sexual intercourse with animals forbidden to male and female.</w:t>
            </w:r>
          </w:p>
        </w:tc>
      </w:tr>
      <w:tr>
        <w:tc>
          <w:tcPr>
            <w:tcW w:type="dxa" w:w="3561"/>
            <w:vAlign w:val="top"/>
          </w:tcPr>
          <w:p>
            <w:pPr>
              <w:spacing w:after="0"/>
            </w:pPr>
            <w:r>
              <w:rPr>
                <w:rFonts w:ascii="Times New Roman" w:hAnsi="Times New Roman"/>
                <w:sz w:val="14"/>
              </w:rPr>
              <w:t>Lev. 18:25</w:t>
            </w:r>
          </w:p>
        </w:tc>
        <w:tc>
          <w:tcPr>
            <w:tcW w:type="dxa" w:w="3561"/>
            <w:vAlign w:val="top"/>
          </w:tcPr>
          <w:p>
            <w:pPr>
              <w:spacing w:after="0"/>
            </w:pPr>
            <w:r>
              <w:rPr>
                <w:rFonts w:ascii="Times New Roman" w:hAnsi="Times New Roman"/>
                <w:sz w:val="14"/>
              </w:rPr>
              <w:t>land vomits inhabitants</w:t>
            </w:r>
          </w:p>
        </w:tc>
        <w:tc>
          <w:tcPr>
            <w:tcW w:type="dxa" w:w="3561"/>
            <w:vAlign w:val="top"/>
          </w:tcPr>
          <w:p>
            <w:pPr>
              <w:spacing w:after="0"/>
            </w:pPr>
            <w:r>
              <w:rPr>
                <w:rFonts w:ascii="Times New Roman" w:hAnsi="Times New Roman"/>
                <w:sz w:val="14"/>
              </w:rPr>
              <w:t>Personification of covenant/judicial expulsion.</w:t>
            </w:r>
          </w:p>
        </w:tc>
      </w:tr>
      <w:tr>
        <w:tc>
          <w:tcPr>
            <w:tcW w:type="dxa" w:w="3561"/>
            <w:vAlign w:val="top"/>
          </w:tcPr>
          <w:p>
            <w:pPr>
              <w:spacing w:after="0"/>
            </w:pPr>
            <w:r>
              <w:rPr>
                <w:rFonts w:ascii="Times New Roman" w:hAnsi="Times New Roman"/>
                <w:sz w:val="14"/>
              </w:rPr>
              <w:t>Lev. 18:28</w:t>
            </w:r>
          </w:p>
        </w:tc>
        <w:tc>
          <w:tcPr>
            <w:tcW w:type="dxa" w:w="3561"/>
            <w:vAlign w:val="top"/>
          </w:tcPr>
          <w:p>
            <w:pPr>
              <w:spacing w:after="0"/>
            </w:pPr>
            <w:r>
              <w:rPr>
                <w:rFonts w:ascii="Times New Roman" w:hAnsi="Times New Roman"/>
                <w:sz w:val="14"/>
              </w:rPr>
              <w:t>Israel warned likewise</w:t>
            </w:r>
          </w:p>
        </w:tc>
        <w:tc>
          <w:tcPr>
            <w:tcW w:type="dxa" w:w="3561"/>
            <w:vAlign w:val="top"/>
          </w:tcPr>
          <w:p>
            <w:pPr>
              <w:spacing w:after="0"/>
            </w:pPr>
            <w:r>
              <w:rPr>
                <w:rFonts w:ascii="Times New Roman" w:hAnsi="Times New Roman"/>
                <w:sz w:val="14"/>
              </w:rPr>
              <w:t>Election does not remove accountability.</w:t>
            </w:r>
          </w:p>
        </w:tc>
      </w:tr>
    </w:tbl>
    <w:p>
      <w:pPr>
        <w:pStyle w:val="Heading1"/>
      </w:pPr>
      <w:r>
        <w:t>RESIDUAL UNCERTAINTIES</w:t>
      </w:r>
    </w:p>
    <w:p>
      <w:pPr/>
      <w:r>
        <w:rPr>
          <w:i w:val="0"/>
        </w:rPr>
        <w:t>Ancient Canaanite sexual/religious practices can be illuminated archaeologically, but the biblical prohibitions do not depend on reconstructing every cult. The precise form of the Molech rite is debated, though child sacrifice is strongly supported by related texts. The chapter should be applied without importing contempt toward modern persons beyond what the legal text actually says.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