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LEVITICUS 19</w:t>
      </w:r>
    </w:p>
    <w:p>
      <w:pPr>
        <w:pStyle w:val="Subtitle"/>
      </w:pPr>
      <w:r>
        <w:t>“YE SHALL BE HOLY” • PARENTS AND SABBATH • GLEANINGS FOR POOR AND STRANGER • HONEST WAGES • DEAF AND BLIND • IMPARTIAL JUSTICE • LOVE THY NEIGHBOUR • LOVE THE STRANGER • JUST MEASURES</w:t>
      </w:r>
    </w:p>
    <w:p>
      <w:pPr/>
      <w:r>
        <w:rPr>
          <w:i/>
        </w:rPr>
        <w:t>H. P. Mansfield Bible notes — checked and arranged in verse-by-verse Expositor style</w:t>
      </w:r>
    </w:p>
    <w:p>
      <w:pPr/>
      <w:r>
        <w:rPr>
          <w:i w:val="0"/>
        </w:rPr>
        <w:t>Source: HPB03, Leviticus 19 annotated pages</w:t>
      </w:r>
    </w:p>
    <w:p>
      <w:pPr>
        <w:pStyle w:val="Heading1"/>
      </w:pPr>
      <w:r>
        <w:t>CHAPTER OVERVIEW</w:t>
      </w:r>
    </w:p>
    <w:p>
      <w:pPr/>
      <w:r>
        <w:rPr>
          <w:i w:val="0"/>
        </w:rPr>
        <w:t>Leviticus 19 is one of Scripture’s clearest demonstrations that holiness is practical. “Ye shall be holy: for I Yahweh your God am holy” is immediately expressed in family reverence, worship, harvest economics, wages, truth, justice, neighbour-love, sexual integrity, rejection of occultism, respect for age and honest trade.</w:t>
      </w:r>
    </w:p>
    <w:p>
      <w:pPr/>
      <w:r>
        <w:rPr>
          <w:i w:val="0"/>
        </w:rPr>
        <w:t>Mansfield’s “general admonition” heading is apt: the chapter refuses to separate religious devotion from ordinary conduct.</w:t>
      </w:r>
    </w:p>
    <w:p>
      <w:pPr>
        <w:pStyle w:val="Heading1"/>
      </w:pPr>
      <w:r>
        <w:t>HOLINESS BEGINS IN ORDINARY COVENANT LIFE — LEVITICUS 19:1–8</w:t>
      </w:r>
    </w:p>
    <w:p>
      <w:pPr>
        <w:pStyle w:val="Heading2"/>
      </w:pPr>
      <w:r>
        <w:t>Leviticus 19:1–4 — holy because Yahweh is holy</w:t>
      </w:r>
    </w:p>
    <w:p>
      <w:pPr/>
      <w:r>
        <w:rPr>
          <w:i w:val="0"/>
        </w:rPr>
        <w:t>Israel’s holiness derives from Yahweh’s holiness. Reverence for mother and father, Sabbath keeping and rejection of idols/molten gods are placed together, joining household, time and worship under one covenant authority.</w:t>
      </w:r>
    </w:p>
    <w:p>
      <w:pPr>
        <w:pStyle w:val="Heading2"/>
      </w:pPr>
      <w:r>
        <w:t>Leviticus 19:5–8 — peace offerings still governed by command</w:t>
      </w:r>
    </w:p>
    <w:p>
      <w:pPr/>
      <w:r>
        <w:rPr>
          <w:i w:val="0"/>
        </w:rPr>
        <w:t>A peace offering must be presented for acceptance and eaten within its appointed time. Meat carried into the third day becomes piggul and is unacceptable. Sincerity does not override Yahweh’s worship instructions.</w:t>
      </w:r>
    </w:p>
    <w:p>
      <w:pPr>
        <w:pStyle w:val="Heading1"/>
      </w:pPr>
      <w:r>
        <w:t>ECONOMIC MERCY AND HONESTY — LEVITICUS 19:9–14</w:t>
      </w:r>
    </w:p>
    <w:p>
      <w:pPr>
        <w:pStyle w:val="Heading2"/>
      </w:pPr>
      <w:r>
        <w:t>Leviticus 19:9–10 — gleanings for poor and ger</w:t>
      </w:r>
    </w:p>
    <w:p>
      <w:pPr/>
      <w:r>
        <w:rPr>
          <w:i w:val="0"/>
        </w:rPr>
        <w:t>Israel must not reap field corners completely or gather every dropped sheaf/grape. The poor and resident sojourner are given access to gleanings. Ruth 2 later provides a vivid narrative example of the principle in practice.</w:t>
      </w:r>
    </w:p>
    <w:p>
      <w:pPr>
        <w:pStyle w:val="Heading2"/>
      </w:pPr>
      <w:r>
        <w:t>Leviticus 19:11–13 — theft, deceit, false oath and delayed wages</w:t>
      </w:r>
    </w:p>
    <w:p>
      <w:pPr/>
      <w:r>
        <w:rPr>
          <w:i w:val="0"/>
        </w:rPr>
        <w:t>Stealing, deceiving, lying and swearing falsely by Yahweh’s Name are prohibited. A hired worker’s wages must not remain with the employer overnight. Holiness includes prompt payment, not merely correct sanctuary ritual.</w:t>
      </w:r>
    </w:p>
    <w:p>
      <w:pPr>
        <w:pStyle w:val="Heading2"/>
      </w:pPr>
      <w:r>
        <w:t>Leviticus 19:14 — deaf and blind protected by fear of God</w:t>
      </w:r>
    </w:p>
    <w:p>
      <w:pPr/>
      <w:r>
        <w:rPr>
          <w:i w:val="0"/>
        </w:rPr>
        <w:t>Israel must not curse the deaf or place a stumblingblock before the blind. The victim may not perceive or retaliate, but the command ends “thou shalt fear thy God.” Conduct toward the vulnerable reveals whether the unseen God is truly feared.</w:t>
      </w:r>
    </w:p>
    <w:p>
      <w:pPr>
        <w:pStyle w:val="Heading1"/>
      </w:pPr>
      <w:r>
        <w:t>JUSTICE, REBUKE AND LOVE — LEVITICUS 19:15–18</w:t>
      </w:r>
    </w:p>
    <w:p>
      <w:pPr>
        <w:pStyle w:val="Heading2"/>
      </w:pPr>
      <w:r>
        <w:t>Leviticus 19:15–16 — no partiality and no slander</w:t>
      </w:r>
    </w:p>
    <w:p>
      <w:pPr/>
      <w:r>
        <w:rPr>
          <w:i w:val="0"/>
        </w:rPr>
        <w:t>Judgment must not favour the poor merely because they are poor, nor honour the great because of status. Rakil is a talebearer/slanderer; Israel must not traffic in destructive reports or “stand against” the neighbour’s life.</w:t>
      </w:r>
    </w:p>
    <w:p>
      <w:pPr>
        <w:pStyle w:val="Heading2"/>
      </w:pPr>
      <w:r>
        <w:t>Leviticus 19:17 — rebuke instead of secret hatred</w:t>
      </w:r>
    </w:p>
    <w:p>
      <w:pPr/>
      <w:r>
        <w:rPr>
          <w:i w:val="0"/>
        </w:rPr>
        <w:t>Israel must not hate a brother in the heart; rather, hokheach tokhiach—surely rebuke/reason with—the neighbour and not bear sin because of him. Biblical love is not indifferent to destructive wrongdoing, but correction must not become hatred.</w:t>
      </w:r>
    </w:p>
    <w:p>
      <w:pPr>
        <w:pStyle w:val="Heading2"/>
      </w:pPr>
      <w:r>
        <w:t>Leviticus 19:18 — “love thy neighbour as thyself”</w:t>
      </w:r>
    </w:p>
    <w:p>
      <w:pPr/>
      <w:r>
        <w:rPr>
          <w:i w:val="0"/>
        </w:rPr>
        <w:t>Revenge and grudge-bearing are forbidden, climaxing in “thou shalt love thy neighbour as thyself.” Jesus identifies this as the second great commandment (Matthew 22:39), and Paul says it sums the neighbour-directed commandments (Romans 13:8–10).</w:t>
      </w:r>
    </w:p>
    <w:p>
      <w:pPr>
        <w:pStyle w:val="Heading1"/>
      </w:pPr>
      <w:r>
        <w:t>SEPARATIONS, SEXUAL CASE AND FRUIT TREES — LEVITICUS 19:19–25</w:t>
      </w:r>
    </w:p>
    <w:p>
      <w:pPr>
        <w:pStyle w:val="Heading2"/>
      </w:pPr>
      <w:r>
        <w:t>Leviticus 19:19 — kinds, seed and sha‘atnez</w:t>
      </w:r>
    </w:p>
    <w:p>
      <w:pPr/>
      <w:r>
        <w:rPr>
          <w:i w:val="0"/>
        </w:rPr>
        <w:t>Israel must not mix specified breeding and field seed, and must not wear sha‘atnez. Deuteronomy 22:11 defines sha‘atnez in practice as wool and linen together. Mansfield’s separation lesson is typological; the material rule itself is concrete.</w:t>
      </w:r>
    </w:p>
    <w:p>
      <w:pPr>
        <w:pStyle w:val="Heading2"/>
      </w:pPr>
      <w:r>
        <w:t>Leviticus 19:20–22 — designated bondwoman case</w:t>
      </w:r>
    </w:p>
    <w:p>
      <w:pPr/>
      <w:r>
        <w:rPr>
          <w:i w:val="0"/>
        </w:rPr>
        <w:t>Intercourse with a female servant designated to another man but not redeemed/freed incurs judgment and a guilt offering. The rare word biqqoreth is uncertain: KJV “she shall be scourged” is not secure; modern proposals include punishment, inquiry or judicial assessment.</w:t>
      </w:r>
    </w:p>
    <w:p>
      <w:pPr/>
      <w:r>
        <w:rPr>
          <w:i w:val="0"/>
        </w:rPr>
        <w:t>Because she was not free, the normal adultery death penalty is not applied, but the act is still culpable and requires atonement.</w:t>
      </w:r>
    </w:p>
    <w:p>
      <w:pPr>
        <w:pStyle w:val="Heading2"/>
      </w:pPr>
      <w:r>
        <w:t>Leviticus 19:23–25 — fruit counted “uncircumcised”</w:t>
      </w:r>
    </w:p>
    <w:p>
      <w:pPr/>
      <w:r>
        <w:rPr>
          <w:i w:val="0"/>
        </w:rPr>
        <w:t>For three years fruit from a newly planted tree is treated as ‘arel, uncircumcised/forbidden; fourth-year fruit is holy praise to Yahweh; normal eating begins in year five. The law disciplines immediate consumption and acknowledges Yahweh before ordinary enjoyment.</w:t>
      </w:r>
    </w:p>
    <w:p>
      <w:pPr>
        <w:pStyle w:val="Heading1"/>
      </w:pPr>
      <w:r>
        <w:t>PAGAN PRACTICES AND REVERENCE — LEVITICUS 19:26–32</w:t>
      </w:r>
    </w:p>
    <w:p>
      <w:pPr>
        <w:pStyle w:val="Heading2"/>
      </w:pPr>
      <w:r>
        <w:t>Leviticus 19:26–28 — divination, hair customs, cuttings and tattoo marks</w:t>
      </w:r>
    </w:p>
    <w:p>
      <w:pPr/>
      <w:r>
        <w:rPr>
          <w:i w:val="0"/>
        </w:rPr>
        <w:t>Blood-eating is forbidden again. Nachash and ‘anan describe forms of divination/soothsaying, though the exact techniques are uncertain. Hair/beard edge-cutting, flesh-cutting for the dead, and qa‘aqa marks are prohibited.</w:t>
      </w:r>
    </w:p>
    <w:p>
      <w:pPr/>
      <w:r>
        <w:rPr>
          <w:i w:val="0"/>
        </w:rPr>
        <w:t>Qa‘aqa is a rare term commonly understood as tattoo/inscribed mark. The verse addresses Israel’s covenant practice; exact ancient cultic motives behind every grooming rule are not stated and should not be invented.</w:t>
      </w:r>
    </w:p>
    <w:p>
      <w:pPr>
        <w:pStyle w:val="Heading2"/>
      </w:pPr>
      <w:r>
        <w:t>Leviticus 19:29–31 — prostitution and spirit consultation</w:t>
      </w:r>
    </w:p>
    <w:p>
      <w:pPr/>
      <w:r>
        <w:rPr>
          <w:i w:val="0"/>
        </w:rPr>
        <w:t>A father must not profane his daughter by making her a prostitute. Sabbath/sanctuary reverence follows. Israel must not turn to ’ovoth and yidde‘onim—medium/familiar-spirit practices and spiritists—rather than Yahweh.</w:t>
      </w:r>
    </w:p>
    <w:p>
      <w:pPr>
        <w:pStyle w:val="Heading2"/>
      </w:pPr>
      <w:r>
        <w:t>Leviticus 19:32 — honour age</w:t>
      </w:r>
    </w:p>
    <w:p>
      <w:pPr/>
      <w:r>
        <w:rPr>
          <w:i w:val="0"/>
        </w:rPr>
        <w:t>Israel rises before the hoary head and honours the face of the aged, again grounded in fear of God. Human worth is not measured only by economic productivity.</w:t>
      </w:r>
    </w:p>
    <w:p>
      <w:pPr>
        <w:pStyle w:val="Heading1"/>
      </w:pPr>
      <w:r>
        <w:t>LOVE THE STRANGER AND TRADE HONESTLY — LEVITICUS 19:33–37</w:t>
      </w:r>
    </w:p>
    <w:p>
      <w:pPr>
        <w:pStyle w:val="Heading2"/>
      </w:pPr>
      <w:r>
        <w:t>Leviticus 19:33–34 — the ger loved “as thyself”</w:t>
      </w:r>
    </w:p>
    <w:p>
      <w:pPr/>
      <w:r>
        <w:rPr>
          <w:i w:val="0"/>
        </w:rPr>
        <w:t>A resident stranger must not be oppressed. “Thou shalt love him as thyself” deliberately extends the chapter’s neighbour-love ethic, grounded in Israel’s memory of being strangers in Egypt.</w:t>
      </w:r>
    </w:p>
    <w:p>
      <w:pPr>
        <w:pStyle w:val="Heading2"/>
      </w:pPr>
      <w:r>
        <w:t>Leviticus 19:35–36 — just balances and measures</w:t>
      </w:r>
    </w:p>
    <w:p>
      <w:pPr/>
      <w:r>
        <w:rPr>
          <w:i w:val="0"/>
        </w:rPr>
        <w:t>Dishonest measures in length, weight or capacity are forbidden. Scales, weights, ephah and hin must be just. Holiness reaches the marketplace.</w:t>
      </w:r>
    </w:p>
    <w:p>
      <w:pPr>
        <w:pStyle w:val="Heading2"/>
      </w:pPr>
      <w:r>
        <w:t>Leviticus 19:37 — observe and do</w:t>
      </w:r>
    </w:p>
    <w:p>
      <w:pPr/>
      <w:r>
        <w:rPr>
          <w:i w:val="0"/>
        </w:rPr>
        <w:t>The final command unites knowledge and practice: keep Yahweh’s statutes and judgments and do them.</w:t>
      </w:r>
    </w:p>
    <w:p>
      <w:pPr>
        <w:pStyle w:val="Heading1"/>
      </w:pPr>
      <w:r>
        <w:t>PRINCIPAL THEMES</w:t>
      </w:r>
    </w:p>
    <w:p>
      <w:pPr>
        <w:ind w:left="259" w:hanging="202"/>
      </w:pPr>
      <w:r>
        <w:rPr>
          <w:b/>
        </w:rPr>
        <w:t xml:space="preserve">• </w:t>
      </w:r>
      <w:r>
        <w:t>Holiness is expressed in family, worship, work, speech, justice, sexuality and commerce.</w:t>
      </w:r>
    </w:p>
    <w:p>
      <w:pPr>
        <w:ind w:left="259" w:hanging="202"/>
      </w:pPr>
      <w:r>
        <w:rPr>
          <w:b/>
        </w:rPr>
        <w:t xml:space="preserve">• </w:t>
      </w:r>
      <w:r>
        <w:t>Gleaning laws provide dignified access to food for poor and resident stranger.</w:t>
      </w:r>
    </w:p>
    <w:p>
      <w:pPr>
        <w:ind w:left="259" w:hanging="202"/>
      </w:pPr>
      <w:r>
        <w:rPr>
          <w:b/>
        </w:rPr>
        <w:t xml:space="preserve">• </w:t>
      </w:r>
      <w:r>
        <w:t>Withholding earned wages overnight violates holiness.</w:t>
      </w:r>
    </w:p>
    <w:p>
      <w:pPr>
        <w:ind w:left="259" w:hanging="202"/>
      </w:pPr>
      <w:r>
        <w:rPr>
          <w:b/>
        </w:rPr>
        <w:t xml:space="preserve">• </w:t>
      </w:r>
      <w:r>
        <w:t>Protection of deaf and blind is grounded in fear of the God who sees.</w:t>
      </w:r>
    </w:p>
    <w:p>
      <w:pPr>
        <w:ind w:left="259" w:hanging="202"/>
      </w:pPr>
      <w:r>
        <w:rPr>
          <w:b/>
        </w:rPr>
        <w:t xml:space="preserve">• </w:t>
      </w:r>
      <w:r>
        <w:t>Justice must not be distorted for either poor or powerful.</w:t>
      </w:r>
    </w:p>
    <w:p>
      <w:pPr>
        <w:ind w:left="259" w:hanging="202"/>
      </w:pPr>
      <w:r>
        <w:rPr>
          <w:b/>
        </w:rPr>
        <w:t xml:space="preserve">• </w:t>
      </w:r>
      <w:r>
        <w:t>Neighbour-love rejects hatred, revenge and grudge-bearing while permitting truthful rebuke.</w:t>
      </w:r>
    </w:p>
    <w:p>
      <w:pPr>
        <w:ind w:left="259" w:hanging="202"/>
      </w:pPr>
      <w:r>
        <w:rPr>
          <w:b/>
        </w:rPr>
        <w:t xml:space="preserve">• </w:t>
      </w:r>
      <w:r>
        <w:t>Jesus and Paul explicitly elevate “love thy neighbour as thyself.”</w:t>
      </w:r>
    </w:p>
    <w:p>
      <w:pPr>
        <w:ind w:left="259" w:hanging="202"/>
      </w:pPr>
      <w:r>
        <w:rPr>
          <w:b/>
        </w:rPr>
        <w:t xml:space="preserve">• </w:t>
      </w:r>
      <w:r>
        <w:t>KJV “she shall be scourged” in verse 20 rests on a difficult Hebrew word and should not be presented as certain.</w:t>
      </w:r>
    </w:p>
    <w:p>
      <w:pPr>
        <w:ind w:left="259" w:hanging="202"/>
      </w:pPr>
      <w:r>
        <w:rPr>
          <w:b/>
        </w:rPr>
        <w:t xml:space="preserve">• </w:t>
      </w:r>
      <w:r>
        <w:t>The resident stranger is also to be loved “as thyself.”</w:t>
      </w:r>
    </w:p>
    <w:p>
      <w:pPr>
        <w:ind w:left="259" w:hanging="202"/>
      </w:pPr>
      <w:r>
        <w:rPr>
          <w:b/>
        </w:rPr>
        <w:t xml:space="preserve">• </w:t>
      </w:r>
      <w:r>
        <w:t>Commercial honesty is a holiness issue.</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pPr>
            <w:r>
              <w:rPr>
                <w:rFonts w:ascii="Times New Roman" w:hAnsi="Times New Roman"/>
                <w:sz w:val="14"/>
              </w:rPr>
              <w:t>Lev. 19:2</w:t>
            </w:r>
          </w:p>
        </w:tc>
        <w:tc>
          <w:tcPr>
            <w:tcW w:type="dxa" w:w="3561"/>
            <w:vAlign w:val="top"/>
          </w:tcPr>
          <w:p>
            <w:pPr>
              <w:spacing w:after="0"/>
            </w:pPr>
            <w:r>
              <w:rPr>
                <w:rFonts w:ascii="Times New Roman" w:hAnsi="Times New Roman"/>
                <w:sz w:val="14"/>
              </w:rPr>
              <w:t>holy because Yahweh holy</w:t>
            </w:r>
          </w:p>
        </w:tc>
        <w:tc>
          <w:tcPr>
            <w:tcW w:type="dxa" w:w="3561"/>
            <w:vAlign w:val="top"/>
          </w:tcPr>
          <w:p>
            <w:pPr>
              <w:spacing w:after="0"/>
            </w:pPr>
            <w:r>
              <w:rPr>
                <w:rFonts w:ascii="Times New Roman" w:hAnsi="Times New Roman"/>
                <w:sz w:val="14"/>
              </w:rPr>
              <w:t>Key theological command for chapter.</w:t>
            </w:r>
          </w:p>
        </w:tc>
      </w:tr>
      <w:tr>
        <w:tc>
          <w:tcPr>
            <w:tcW w:type="dxa" w:w="3561"/>
            <w:vAlign w:val="top"/>
          </w:tcPr>
          <w:p>
            <w:pPr>
              <w:spacing w:after="0"/>
            </w:pPr>
            <w:r>
              <w:rPr>
                <w:rFonts w:ascii="Times New Roman" w:hAnsi="Times New Roman"/>
                <w:sz w:val="14"/>
              </w:rPr>
              <w:t>Lev. 19:9–10</w:t>
            </w:r>
          </w:p>
        </w:tc>
        <w:tc>
          <w:tcPr>
            <w:tcW w:type="dxa" w:w="3561"/>
            <w:vAlign w:val="top"/>
          </w:tcPr>
          <w:p>
            <w:pPr>
              <w:spacing w:after="0"/>
            </w:pPr>
            <w:r>
              <w:rPr>
                <w:rFonts w:ascii="Times New Roman" w:hAnsi="Times New Roman"/>
                <w:sz w:val="14"/>
              </w:rPr>
              <w:t>gleanings</w:t>
            </w:r>
          </w:p>
        </w:tc>
        <w:tc>
          <w:tcPr>
            <w:tcW w:type="dxa" w:w="3561"/>
            <w:vAlign w:val="top"/>
          </w:tcPr>
          <w:p>
            <w:pPr>
              <w:spacing w:after="0"/>
            </w:pPr>
            <w:r>
              <w:rPr>
                <w:rFonts w:ascii="Times New Roman" w:hAnsi="Times New Roman"/>
                <w:sz w:val="14"/>
              </w:rPr>
              <w:t>Poor and ger receive field/vineyard remainder; compare Ruth 2.</w:t>
            </w:r>
          </w:p>
        </w:tc>
      </w:tr>
      <w:tr>
        <w:tc>
          <w:tcPr>
            <w:tcW w:type="dxa" w:w="3561"/>
            <w:vAlign w:val="top"/>
          </w:tcPr>
          <w:p>
            <w:pPr>
              <w:spacing w:after="0"/>
            </w:pPr>
            <w:r>
              <w:rPr>
                <w:rFonts w:ascii="Times New Roman" w:hAnsi="Times New Roman"/>
                <w:sz w:val="14"/>
              </w:rPr>
              <w:t>Lev. 19:13</w:t>
            </w:r>
          </w:p>
        </w:tc>
        <w:tc>
          <w:tcPr>
            <w:tcW w:type="dxa" w:w="3561"/>
            <w:vAlign w:val="top"/>
          </w:tcPr>
          <w:p>
            <w:pPr>
              <w:spacing w:after="0"/>
            </w:pPr>
            <w:r>
              <w:rPr>
                <w:rFonts w:ascii="Times New Roman" w:hAnsi="Times New Roman"/>
                <w:sz w:val="14"/>
              </w:rPr>
              <w:t>wages</w:t>
            </w:r>
          </w:p>
        </w:tc>
        <w:tc>
          <w:tcPr>
            <w:tcW w:type="dxa" w:w="3561"/>
            <w:vAlign w:val="top"/>
          </w:tcPr>
          <w:p>
            <w:pPr>
              <w:spacing w:after="0"/>
            </w:pPr>
            <w:r>
              <w:rPr>
                <w:rFonts w:ascii="Times New Roman" w:hAnsi="Times New Roman"/>
                <w:sz w:val="14"/>
              </w:rPr>
              <w:t>Hired worker’s pay not withheld overnight.</w:t>
            </w:r>
          </w:p>
        </w:tc>
      </w:tr>
      <w:tr>
        <w:tc>
          <w:tcPr>
            <w:tcW w:type="dxa" w:w="3561"/>
            <w:vAlign w:val="top"/>
          </w:tcPr>
          <w:p>
            <w:pPr>
              <w:spacing w:after="0"/>
            </w:pPr>
            <w:r>
              <w:rPr>
                <w:rFonts w:ascii="Times New Roman" w:hAnsi="Times New Roman"/>
                <w:sz w:val="14"/>
              </w:rPr>
              <w:t>Lev. 19:14</w:t>
            </w:r>
          </w:p>
        </w:tc>
        <w:tc>
          <w:tcPr>
            <w:tcW w:type="dxa" w:w="3561"/>
            <w:vAlign w:val="top"/>
          </w:tcPr>
          <w:p>
            <w:pPr>
              <w:spacing w:after="0"/>
            </w:pPr>
            <w:r>
              <w:rPr>
                <w:rFonts w:ascii="Times New Roman" w:hAnsi="Times New Roman"/>
                <w:sz w:val="14"/>
              </w:rPr>
              <w:t>deaf/blind</w:t>
            </w:r>
          </w:p>
        </w:tc>
        <w:tc>
          <w:tcPr>
            <w:tcW w:type="dxa" w:w="3561"/>
            <w:vAlign w:val="top"/>
          </w:tcPr>
          <w:p>
            <w:pPr>
              <w:spacing w:after="0"/>
            </w:pPr>
            <w:r>
              <w:rPr>
                <w:rFonts w:ascii="Times New Roman" w:hAnsi="Times New Roman"/>
                <w:sz w:val="14"/>
              </w:rPr>
              <w:t>Vulnerability protected under fear of God.</w:t>
            </w:r>
          </w:p>
        </w:tc>
      </w:tr>
      <w:tr>
        <w:tc>
          <w:tcPr>
            <w:tcW w:type="dxa" w:w="3561"/>
            <w:vAlign w:val="top"/>
          </w:tcPr>
          <w:p>
            <w:pPr>
              <w:spacing w:after="0"/>
            </w:pPr>
            <w:r>
              <w:rPr>
                <w:rFonts w:ascii="Times New Roman" w:hAnsi="Times New Roman"/>
                <w:sz w:val="14"/>
              </w:rPr>
              <w:t>Lev. 19:15</w:t>
            </w:r>
          </w:p>
        </w:tc>
        <w:tc>
          <w:tcPr>
            <w:tcW w:type="dxa" w:w="3561"/>
            <w:vAlign w:val="top"/>
          </w:tcPr>
          <w:p>
            <w:pPr>
              <w:spacing w:after="0"/>
            </w:pPr>
            <w:r>
              <w:rPr>
                <w:rFonts w:ascii="Times New Roman" w:hAnsi="Times New Roman"/>
                <w:sz w:val="14"/>
              </w:rPr>
              <w:t>impartial judgment</w:t>
            </w:r>
          </w:p>
        </w:tc>
        <w:tc>
          <w:tcPr>
            <w:tcW w:type="dxa" w:w="3561"/>
            <w:vAlign w:val="top"/>
          </w:tcPr>
          <w:p>
            <w:pPr>
              <w:spacing w:after="0"/>
            </w:pPr>
            <w:r>
              <w:rPr>
                <w:rFonts w:ascii="Times New Roman" w:hAnsi="Times New Roman"/>
                <w:sz w:val="14"/>
              </w:rPr>
              <w:t>Neither poor nor great receives biased verdict.</w:t>
            </w:r>
          </w:p>
        </w:tc>
      </w:tr>
      <w:tr>
        <w:tc>
          <w:tcPr>
            <w:tcW w:type="dxa" w:w="3561"/>
            <w:vAlign w:val="top"/>
          </w:tcPr>
          <w:p>
            <w:pPr>
              <w:spacing w:after="0"/>
            </w:pPr>
            <w:r>
              <w:rPr>
                <w:rFonts w:ascii="Times New Roman" w:hAnsi="Times New Roman"/>
                <w:sz w:val="14"/>
              </w:rPr>
              <w:t>Lev. 19:16</w:t>
            </w:r>
          </w:p>
        </w:tc>
        <w:tc>
          <w:tcPr>
            <w:tcW w:type="dxa" w:w="3561"/>
            <w:vAlign w:val="top"/>
          </w:tcPr>
          <w:p>
            <w:pPr>
              <w:spacing w:after="0"/>
            </w:pPr>
            <w:r>
              <w:rPr>
                <w:rFonts w:ascii="Times New Roman" w:hAnsi="Times New Roman"/>
                <w:sz w:val="14"/>
              </w:rPr>
              <w:t>rakil</w:t>
            </w:r>
          </w:p>
        </w:tc>
        <w:tc>
          <w:tcPr>
            <w:tcW w:type="dxa" w:w="3561"/>
            <w:vAlign w:val="top"/>
          </w:tcPr>
          <w:p>
            <w:pPr>
              <w:spacing w:after="0"/>
            </w:pPr>
            <w:r>
              <w:rPr>
                <w:rFonts w:ascii="Times New Roman" w:hAnsi="Times New Roman"/>
                <w:sz w:val="14"/>
              </w:rPr>
              <w:t>Talebearer/slanderer.</w:t>
            </w:r>
          </w:p>
        </w:tc>
      </w:tr>
      <w:tr>
        <w:tc>
          <w:tcPr>
            <w:tcW w:type="dxa" w:w="3561"/>
            <w:vAlign w:val="top"/>
          </w:tcPr>
          <w:p>
            <w:pPr>
              <w:spacing w:after="0"/>
            </w:pPr>
            <w:r>
              <w:rPr>
                <w:rFonts w:ascii="Times New Roman" w:hAnsi="Times New Roman"/>
                <w:sz w:val="14"/>
              </w:rPr>
              <w:t>Lev. 19:17</w:t>
            </w:r>
          </w:p>
        </w:tc>
        <w:tc>
          <w:tcPr>
            <w:tcW w:type="dxa" w:w="3561"/>
            <w:vAlign w:val="top"/>
          </w:tcPr>
          <w:p>
            <w:pPr>
              <w:spacing w:after="0"/>
            </w:pPr>
            <w:r>
              <w:rPr>
                <w:rFonts w:ascii="Times New Roman" w:hAnsi="Times New Roman"/>
                <w:sz w:val="14"/>
              </w:rPr>
              <w:t>hokheach tokhiach</w:t>
            </w:r>
          </w:p>
        </w:tc>
        <w:tc>
          <w:tcPr>
            <w:tcW w:type="dxa" w:w="3561"/>
            <w:vAlign w:val="top"/>
          </w:tcPr>
          <w:p>
            <w:pPr>
              <w:spacing w:after="0"/>
            </w:pPr>
            <w:r>
              <w:rPr>
                <w:rFonts w:ascii="Times New Roman" w:hAnsi="Times New Roman"/>
                <w:sz w:val="14"/>
              </w:rPr>
              <w:t>Emphatic rebuke/reason frankly; not harbour hatred.</w:t>
            </w:r>
          </w:p>
        </w:tc>
      </w:tr>
      <w:tr>
        <w:tc>
          <w:tcPr>
            <w:tcW w:type="dxa" w:w="3561"/>
            <w:vAlign w:val="top"/>
          </w:tcPr>
          <w:p>
            <w:pPr>
              <w:spacing w:after="0"/>
            </w:pPr>
            <w:r>
              <w:rPr>
                <w:rFonts w:ascii="Times New Roman" w:hAnsi="Times New Roman"/>
                <w:sz w:val="14"/>
              </w:rPr>
              <w:t>Lev. 19:18</w:t>
            </w:r>
          </w:p>
        </w:tc>
        <w:tc>
          <w:tcPr>
            <w:tcW w:type="dxa" w:w="3561"/>
            <w:vAlign w:val="top"/>
          </w:tcPr>
          <w:p>
            <w:pPr>
              <w:spacing w:after="0"/>
            </w:pPr>
            <w:r>
              <w:rPr>
                <w:rFonts w:ascii="Times New Roman" w:hAnsi="Times New Roman"/>
                <w:sz w:val="14"/>
              </w:rPr>
              <w:t>love neighbour</w:t>
            </w:r>
          </w:p>
        </w:tc>
        <w:tc>
          <w:tcPr>
            <w:tcW w:type="dxa" w:w="3561"/>
            <w:vAlign w:val="top"/>
          </w:tcPr>
          <w:p>
            <w:pPr>
              <w:spacing w:after="0"/>
            </w:pPr>
            <w:r>
              <w:rPr>
                <w:rFonts w:ascii="Times New Roman" w:hAnsi="Times New Roman"/>
                <w:sz w:val="14"/>
              </w:rPr>
              <w:t>Quoted Matt. 22:39; Rom. 13:9.</w:t>
            </w:r>
          </w:p>
        </w:tc>
      </w:tr>
      <w:tr>
        <w:tc>
          <w:tcPr>
            <w:tcW w:type="dxa" w:w="3561"/>
            <w:vAlign w:val="top"/>
          </w:tcPr>
          <w:p>
            <w:pPr>
              <w:spacing w:after="0"/>
            </w:pPr>
            <w:r>
              <w:rPr>
                <w:rFonts w:ascii="Times New Roman" w:hAnsi="Times New Roman"/>
                <w:sz w:val="14"/>
              </w:rPr>
              <w:t>Lev. 19:19</w:t>
            </w:r>
          </w:p>
        </w:tc>
        <w:tc>
          <w:tcPr>
            <w:tcW w:type="dxa" w:w="3561"/>
            <w:vAlign w:val="top"/>
          </w:tcPr>
          <w:p>
            <w:pPr>
              <w:spacing w:after="0"/>
            </w:pPr>
            <w:r>
              <w:rPr>
                <w:rFonts w:ascii="Times New Roman" w:hAnsi="Times New Roman"/>
                <w:sz w:val="14"/>
              </w:rPr>
              <w:t>sha‘atnez</w:t>
            </w:r>
          </w:p>
        </w:tc>
        <w:tc>
          <w:tcPr>
            <w:tcW w:type="dxa" w:w="3561"/>
            <w:vAlign w:val="top"/>
          </w:tcPr>
          <w:p>
            <w:pPr>
              <w:spacing w:after="0"/>
            </w:pPr>
            <w:r>
              <w:rPr>
                <w:rFonts w:ascii="Times New Roman" w:hAnsi="Times New Roman"/>
                <w:sz w:val="14"/>
              </w:rPr>
              <w:t>Mixed textile; Deut. 22:11 specifies wool + linen.</w:t>
            </w:r>
          </w:p>
        </w:tc>
      </w:tr>
      <w:tr>
        <w:tc>
          <w:tcPr>
            <w:tcW w:type="dxa" w:w="3561"/>
            <w:vAlign w:val="top"/>
          </w:tcPr>
          <w:p>
            <w:pPr>
              <w:spacing w:after="0"/>
            </w:pPr>
            <w:r>
              <w:rPr>
                <w:rFonts w:ascii="Times New Roman" w:hAnsi="Times New Roman"/>
                <w:sz w:val="14"/>
              </w:rPr>
              <w:t>Lev. 19:20</w:t>
            </w:r>
          </w:p>
        </w:tc>
        <w:tc>
          <w:tcPr>
            <w:tcW w:type="dxa" w:w="3561"/>
            <w:vAlign w:val="top"/>
          </w:tcPr>
          <w:p>
            <w:pPr>
              <w:spacing w:after="0"/>
            </w:pPr>
            <w:r>
              <w:rPr>
                <w:rFonts w:ascii="Times New Roman" w:hAnsi="Times New Roman"/>
                <w:sz w:val="14"/>
              </w:rPr>
              <w:t>biqqoreth</w:t>
            </w:r>
          </w:p>
        </w:tc>
        <w:tc>
          <w:tcPr>
            <w:tcW w:type="dxa" w:w="3561"/>
            <w:vAlign w:val="top"/>
          </w:tcPr>
          <w:p>
            <w:pPr>
              <w:spacing w:after="0"/>
            </w:pPr>
            <w:r>
              <w:rPr>
                <w:rFonts w:ascii="Times New Roman" w:hAnsi="Times New Roman"/>
                <w:sz w:val="14"/>
              </w:rPr>
              <w:t>Rare/uncertain; KJV “scourging” not lexically secure.</w:t>
            </w:r>
          </w:p>
        </w:tc>
      </w:tr>
      <w:tr>
        <w:tc>
          <w:tcPr>
            <w:tcW w:type="dxa" w:w="3561"/>
            <w:vAlign w:val="top"/>
          </w:tcPr>
          <w:p>
            <w:pPr>
              <w:spacing w:after="0"/>
            </w:pPr>
            <w:r>
              <w:rPr>
                <w:rFonts w:ascii="Times New Roman" w:hAnsi="Times New Roman"/>
                <w:sz w:val="14"/>
              </w:rPr>
              <w:t>Lev. 19:23</w:t>
            </w:r>
          </w:p>
        </w:tc>
        <w:tc>
          <w:tcPr>
            <w:tcW w:type="dxa" w:w="3561"/>
            <w:vAlign w:val="top"/>
          </w:tcPr>
          <w:p>
            <w:pPr>
              <w:spacing w:after="0"/>
            </w:pPr>
            <w:r>
              <w:rPr>
                <w:rFonts w:ascii="Times New Roman" w:hAnsi="Times New Roman"/>
                <w:sz w:val="14"/>
              </w:rPr>
              <w:t>‘arel fruit</w:t>
            </w:r>
          </w:p>
        </w:tc>
        <w:tc>
          <w:tcPr>
            <w:tcW w:type="dxa" w:w="3561"/>
            <w:vAlign w:val="top"/>
          </w:tcPr>
          <w:p>
            <w:pPr>
              <w:spacing w:after="0"/>
            </w:pPr>
            <w:r>
              <w:rPr>
                <w:rFonts w:ascii="Times New Roman" w:hAnsi="Times New Roman"/>
                <w:sz w:val="14"/>
              </w:rPr>
              <w:t>Counted uncircumcised/forbidden for three years.</w:t>
            </w:r>
          </w:p>
        </w:tc>
      </w:tr>
      <w:tr>
        <w:tc>
          <w:tcPr>
            <w:tcW w:type="dxa" w:w="3561"/>
            <w:vAlign w:val="top"/>
          </w:tcPr>
          <w:p>
            <w:pPr>
              <w:spacing w:after="0"/>
            </w:pPr>
            <w:r>
              <w:rPr>
                <w:rFonts w:ascii="Times New Roman" w:hAnsi="Times New Roman"/>
                <w:sz w:val="14"/>
              </w:rPr>
              <w:t>Lev. 19:26</w:t>
            </w:r>
          </w:p>
        </w:tc>
        <w:tc>
          <w:tcPr>
            <w:tcW w:type="dxa" w:w="3561"/>
            <w:vAlign w:val="top"/>
          </w:tcPr>
          <w:p>
            <w:pPr>
              <w:spacing w:after="0"/>
            </w:pPr>
            <w:r>
              <w:rPr>
                <w:rFonts w:ascii="Times New Roman" w:hAnsi="Times New Roman"/>
                <w:sz w:val="14"/>
              </w:rPr>
              <w:t>nachash / ‘anan</w:t>
            </w:r>
          </w:p>
        </w:tc>
        <w:tc>
          <w:tcPr>
            <w:tcW w:type="dxa" w:w="3561"/>
            <w:vAlign w:val="top"/>
          </w:tcPr>
          <w:p>
            <w:pPr>
              <w:spacing w:after="0"/>
            </w:pPr>
            <w:r>
              <w:rPr>
                <w:rFonts w:ascii="Times New Roman" w:hAnsi="Times New Roman"/>
                <w:sz w:val="14"/>
              </w:rPr>
              <w:t>Divination/soothsaying terms; exact techniques uncertain.</w:t>
            </w:r>
          </w:p>
        </w:tc>
      </w:tr>
      <w:tr>
        <w:tc>
          <w:tcPr>
            <w:tcW w:type="dxa" w:w="3561"/>
            <w:vAlign w:val="top"/>
          </w:tcPr>
          <w:p>
            <w:pPr>
              <w:spacing w:after="0"/>
            </w:pPr>
            <w:r>
              <w:rPr>
                <w:rFonts w:ascii="Times New Roman" w:hAnsi="Times New Roman"/>
                <w:sz w:val="14"/>
              </w:rPr>
              <w:t>Lev. 19:28</w:t>
            </w:r>
          </w:p>
        </w:tc>
        <w:tc>
          <w:tcPr>
            <w:tcW w:type="dxa" w:w="3561"/>
            <w:vAlign w:val="top"/>
          </w:tcPr>
          <w:p>
            <w:pPr>
              <w:spacing w:after="0"/>
            </w:pPr>
            <w:r>
              <w:rPr>
                <w:rFonts w:ascii="Times New Roman" w:hAnsi="Times New Roman"/>
                <w:sz w:val="14"/>
              </w:rPr>
              <w:t>qa‘aqa</w:t>
            </w:r>
          </w:p>
        </w:tc>
        <w:tc>
          <w:tcPr>
            <w:tcW w:type="dxa" w:w="3561"/>
            <w:vAlign w:val="top"/>
          </w:tcPr>
          <w:p>
            <w:pPr>
              <w:spacing w:after="0"/>
            </w:pPr>
            <w:r>
              <w:rPr>
                <w:rFonts w:ascii="Times New Roman" w:hAnsi="Times New Roman"/>
                <w:sz w:val="14"/>
              </w:rPr>
              <w:t>Rare term, commonly tattoo/inscribed mark.</w:t>
            </w:r>
          </w:p>
        </w:tc>
      </w:tr>
      <w:tr>
        <w:tc>
          <w:tcPr>
            <w:tcW w:type="dxa" w:w="3561"/>
            <w:vAlign w:val="top"/>
          </w:tcPr>
          <w:p>
            <w:pPr>
              <w:spacing w:after="0"/>
            </w:pPr>
            <w:r>
              <w:rPr>
                <w:rFonts w:ascii="Times New Roman" w:hAnsi="Times New Roman"/>
                <w:sz w:val="14"/>
              </w:rPr>
              <w:t>Lev. 19:31</w:t>
            </w:r>
          </w:p>
        </w:tc>
        <w:tc>
          <w:tcPr>
            <w:tcW w:type="dxa" w:w="3561"/>
            <w:vAlign w:val="top"/>
          </w:tcPr>
          <w:p>
            <w:pPr>
              <w:spacing w:after="0"/>
            </w:pPr>
            <w:r>
              <w:rPr>
                <w:rFonts w:ascii="Times New Roman" w:hAnsi="Times New Roman"/>
                <w:sz w:val="14"/>
              </w:rPr>
              <w:t>’ov / yidde‘oni</w:t>
            </w:r>
          </w:p>
        </w:tc>
        <w:tc>
          <w:tcPr>
            <w:tcW w:type="dxa" w:w="3561"/>
            <w:vAlign w:val="top"/>
          </w:tcPr>
          <w:p>
            <w:pPr>
              <w:spacing w:after="0"/>
            </w:pPr>
            <w:r>
              <w:rPr>
                <w:rFonts w:ascii="Times New Roman" w:hAnsi="Times New Roman"/>
                <w:sz w:val="14"/>
              </w:rPr>
              <w:t>Medium/familiar-spirit practice and spiritist.</w:t>
            </w:r>
          </w:p>
        </w:tc>
      </w:tr>
      <w:tr>
        <w:tc>
          <w:tcPr>
            <w:tcW w:type="dxa" w:w="3561"/>
            <w:vAlign w:val="top"/>
          </w:tcPr>
          <w:p>
            <w:pPr>
              <w:spacing w:after="0"/>
            </w:pPr>
            <w:r>
              <w:rPr>
                <w:rFonts w:ascii="Times New Roman" w:hAnsi="Times New Roman"/>
                <w:sz w:val="14"/>
              </w:rPr>
              <w:t>Lev. 19:34</w:t>
            </w:r>
          </w:p>
        </w:tc>
        <w:tc>
          <w:tcPr>
            <w:tcW w:type="dxa" w:w="3561"/>
            <w:vAlign w:val="top"/>
          </w:tcPr>
          <w:p>
            <w:pPr>
              <w:spacing w:after="0"/>
            </w:pPr>
            <w:r>
              <w:rPr>
                <w:rFonts w:ascii="Times New Roman" w:hAnsi="Times New Roman"/>
                <w:sz w:val="14"/>
              </w:rPr>
              <w:t>love ger as thyself</w:t>
            </w:r>
          </w:p>
        </w:tc>
        <w:tc>
          <w:tcPr>
            <w:tcW w:type="dxa" w:w="3561"/>
            <w:vAlign w:val="top"/>
          </w:tcPr>
          <w:p>
            <w:pPr>
              <w:spacing w:after="0"/>
            </w:pPr>
            <w:r>
              <w:rPr>
                <w:rFonts w:ascii="Times New Roman" w:hAnsi="Times New Roman"/>
                <w:sz w:val="14"/>
              </w:rPr>
              <w:t>Compassion grounded in Egyptian sojourn.</w:t>
            </w:r>
          </w:p>
        </w:tc>
      </w:tr>
      <w:tr>
        <w:tc>
          <w:tcPr>
            <w:tcW w:type="dxa" w:w="3561"/>
            <w:vAlign w:val="top"/>
          </w:tcPr>
          <w:p>
            <w:pPr>
              <w:spacing w:after="0"/>
            </w:pPr>
            <w:r>
              <w:rPr>
                <w:rFonts w:ascii="Times New Roman" w:hAnsi="Times New Roman"/>
                <w:sz w:val="14"/>
              </w:rPr>
              <w:t>Lev. 19:35–36</w:t>
            </w:r>
          </w:p>
        </w:tc>
        <w:tc>
          <w:tcPr>
            <w:tcW w:type="dxa" w:w="3561"/>
            <w:vAlign w:val="top"/>
          </w:tcPr>
          <w:p>
            <w:pPr>
              <w:spacing w:after="0"/>
            </w:pPr>
            <w:r>
              <w:rPr>
                <w:rFonts w:ascii="Times New Roman" w:hAnsi="Times New Roman"/>
                <w:sz w:val="14"/>
              </w:rPr>
              <w:t>just measures</w:t>
            </w:r>
          </w:p>
        </w:tc>
        <w:tc>
          <w:tcPr>
            <w:tcW w:type="dxa" w:w="3561"/>
            <w:vAlign w:val="top"/>
          </w:tcPr>
          <w:p>
            <w:pPr>
              <w:spacing w:after="0"/>
            </w:pPr>
            <w:r>
              <w:rPr>
                <w:rFonts w:ascii="Times New Roman" w:hAnsi="Times New Roman"/>
                <w:sz w:val="14"/>
              </w:rPr>
              <w:t>Commercial measurement placed under holiness.</w:t>
            </w:r>
          </w:p>
        </w:tc>
      </w:tr>
    </w:tbl>
    <w:p>
      <w:pPr>
        <w:pStyle w:val="Heading1"/>
      </w:pPr>
      <w:r>
        <w:t>RESIDUAL UNCERTAINTIES</w:t>
      </w:r>
    </w:p>
    <w:p>
      <w:pPr/>
      <w:r>
        <w:rPr>
          <w:i w:val="0"/>
        </w:rPr>
        <w:t>The exact meanings of biqqoreth, ‘anan and qa‘aqa have lexical uncertainty, so traditional English renderings should be qualified. Specific pagan origins for hair/beard rules are plausible but not stated in the chapter. Mansfield’s symbolic separation applications remain secondary to the explicit ethical commands.</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LEVITICUS 19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2" w:after="14"/>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4" w:after="14"/>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