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2</w:t>
      </w:r>
    </w:p>
    <w:p>
      <w:pPr>
        <w:pStyle w:val="Subtitle"/>
      </w:pPr>
      <w:r>
        <w:t>THE MEAL OFFERING • FINE FLOUR, OIL AND FRANKINCENSE • MEMORIAL PORTION • NO LEAVEN OR HONEY • SALT OF THE COVENANT • FIRSTFRUITS</w:t>
      </w:r>
    </w:p>
    <w:p>
      <w:pPr/>
      <w:r>
        <w:rPr>
          <w:i/>
        </w:rPr>
        <w:t>H. P. Mansfield Bible notes — checked and arranged in verse-by-verse Expositor style</w:t>
      </w:r>
    </w:p>
    <w:p>
      <w:pPr/>
      <w:r>
        <w:rPr>
          <w:i w:val="0"/>
        </w:rPr>
        <w:t>Source: HPB 02-Gen42-Lev11.pdf, principally Leviticus 2 HPB pages</w:t>
      </w:r>
    </w:p>
    <w:p>
      <w:pPr>
        <w:pStyle w:val="Heading1"/>
      </w:pPr>
      <w:r>
        <w:t>CHAPTER OVERVIEW</w:t>
      </w:r>
    </w:p>
    <w:p>
      <w:pPr/>
      <w:r>
        <w:rPr>
          <w:i w:val="0"/>
        </w:rPr>
        <w:t>Leviticus 2 describes the minchah, traditionally the KJV “meat offering.” In modern English that name is misleading because this chapter’s offering is grain/meal, not animal flesh.</w:t>
      </w:r>
    </w:p>
    <w:p>
      <w:pPr/>
      <w:r>
        <w:rPr>
          <w:i w:val="0"/>
        </w:rPr>
        <w:t>The offering presents the fruit of human labour to Yahweh: fine flour, oil, frankincense and prepared grain. A memorial portion ascends on the altar, while the priestly portion is “most holy.” Mansfield’s service/dedication theme is therefore strong, provided symbolic meanings are kept distinct from lexical definitions.</w:t>
      </w:r>
    </w:p>
    <w:p>
      <w:pPr>
        <w:pStyle w:val="Heading1"/>
      </w:pPr>
      <w:r>
        <w:t>FINE FLOUR, OIL AND FRANKINCENSE — LEVITICUS 2:1–3</w:t>
      </w:r>
    </w:p>
    <w:p>
      <w:pPr>
        <w:pStyle w:val="Heading2"/>
      </w:pPr>
      <w:r>
        <w:t>Leviticus 2:1 — minchah of fine flour</w:t>
      </w:r>
    </w:p>
    <w:p>
      <w:pPr/>
      <w:r>
        <w:rPr>
          <w:i w:val="0"/>
        </w:rPr>
        <w:t>A nephesh/person bringing a minchah presents soleth, fine flour, with oil and frankincense. KJV “meat offering” uses old English “meat” for food generally; “meal/grain offering” is clearer today.</w:t>
      </w:r>
    </w:p>
    <w:p>
      <w:pPr/>
      <w:r>
        <w:rPr>
          <w:i w:val="0"/>
        </w:rPr>
        <w:t>Mansfield connects fine flour with refined character, oil with Spirit and frankincense with prayer. These are typological associations; soleth, shemen and levonah simply name flour, oil and frankincense.</w:t>
      </w:r>
    </w:p>
    <w:p>
      <w:pPr>
        <w:pStyle w:val="Heading2"/>
      </w:pPr>
      <w:r>
        <w:t>Leviticus 2:2–3 — memorial portion and priestly remainder</w:t>
      </w:r>
    </w:p>
    <w:p>
      <w:pPr/>
      <w:r>
        <w:rPr>
          <w:i w:val="0"/>
        </w:rPr>
        <w:t>The priest takes a handful of flour/oil with all the frankincense and burns the ’azkarah, memorial portion, on the altar. The remainder belongs to Aaron and sons and is called qodesh qadashim, most holy, from Yahweh’s fire offerings.</w:t>
      </w:r>
    </w:p>
    <w:p>
      <w:pPr/>
      <w:r>
        <w:rPr>
          <w:i w:val="0"/>
        </w:rPr>
        <w:t>The priestly share shows that sacred service includes God-appointed provision for those who minister.</w:t>
      </w:r>
    </w:p>
    <w:p>
      <w:pPr>
        <w:pStyle w:val="Heading1"/>
      </w:pPr>
      <w:r>
        <w:t>PREPARED FORMS OF THE OFFERING — LEVITICUS 2:4–10</w:t>
      </w:r>
    </w:p>
    <w:p>
      <w:pPr>
        <w:pStyle w:val="Heading2"/>
      </w:pPr>
      <w:r>
        <w:t>Leviticus 2:4–7 — oven, griddle/pan and covered pan</w:t>
      </w:r>
    </w:p>
    <w:p>
      <w:pPr/>
      <w:r>
        <w:rPr>
          <w:i w:val="0"/>
        </w:rPr>
        <w:t>The offering may be baked in an oven, prepared on a machavath (flat pan/griddle) or in a marchesheth (deeper/cooking pan). Exact modern cookware equivalents are approximate.</w:t>
      </w:r>
    </w:p>
    <w:p>
      <w:pPr/>
      <w:r>
        <w:rPr>
          <w:i w:val="0"/>
        </w:rPr>
        <w:t>Unleavened cakes/wafers are mixed or spread with oil. Outward preparation varies while the same altar/priestly structure remains.</w:t>
      </w:r>
    </w:p>
    <w:p>
      <w:pPr>
        <w:pStyle w:val="Heading2"/>
      </w:pPr>
      <w:r>
        <w:t>Leviticus 2:8–10 — priest presents and burns memorial portion</w:t>
      </w:r>
    </w:p>
    <w:p>
      <w:pPr/>
      <w:r>
        <w:rPr>
          <w:i w:val="0"/>
        </w:rPr>
        <w:t>Whatever preparation is used, it is brought to the priest, presented at the altar, and a memorial portion is burned. The remainder remains most holy for Aaron and sons. Variation in service does not abolish the appointed pattern.</w:t>
      </w:r>
    </w:p>
    <w:p>
      <w:pPr>
        <w:pStyle w:val="Heading1"/>
      </w:pPr>
      <w:r>
        <w:t>NO LEAVEN OR HONEY; SALT REQUIRED — LEVITICUS 2:11–13</w:t>
      </w:r>
    </w:p>
    <w:p>
      <w:pPr>
        <w:pStyle w:val="Heading2"/>
      </w:pPr>
      <w:r>
        <w:t>Leviticus 2:11 — se’or and devash not burned</w:t>
      </w:r>
    </w:p>
    <w:p>
      <w:pPr/>
      <w:r>
        <w:rPr>
          <w:i w:val="0"/>
        </w:rPr>
        <w:t>No se’or, leaven/leavening agent, and no devash, honey or sweet syrup, is to be burned as Yahweh’s fire offering. Leaven later carries explicit negative symbolism in some contexts, but it is not intrinsically evil in every biblical use.</w:t>
      </w:r>
    </w:p>
    <w:p>
      <w:pPr/>
      <w:r>
        <w:rPr>
          <w:i w:val="0"/>
        </w:rPr>
        <w:t>Likewise honey should not be turned into a universal symbol of “natural sweetness.” The direct command concerns what may be burned on this altar.</w:t>
      </w:r>
    </w:p>
    <w:p>
      <w:pPr>
        <w:pStyle w:val="Heading2"/>
      </w:pPr>
      <w:r>
        <w:t>Leviticus 2:12 — firstfruits may be presented, but not burned as aroma</w:t>
      </w:r>
    </w:p>
    <w:p>
      <w:pPr/>
      <w:r>
        <w:rPr>
          <w:i w:val="0"/>
        </w:rPr>
        <w:t>Such produce may be brought as firstfruits, but not caused to ascend on the altar for a pleasing aroma. The verse itself distinguishes acceptable presentation from material appropriate for altar burning.</w:t>
      </w:r>
    </w:p>
    <w:p>
      <w:pPr>
        <w:pStyle w:val="Heading2"/>
      </w:pPr>
      <w:r>
        <w:t>Leviticus 2:13 — salt of the covenant</w:t>
      </w:r>
    </w:p>
    <w:p>
      <w:pPr/>
      <w:r>
        <w:rPr>
          <w:i w:val="0"/>
        </w:rPr>
        <w:t>Every minchah is to be seasoned with melach, salt; “the salt of the covenant of thy God” must not be absent. Salt’s preserving association makes Mansfield’s covenant-fidelity symbolism natural, and Numbers 18:19 later uses “covenant of salt” language for an enduring ordinance.</w:t>
      </w:r>
    </w:p>
    <w:p>
      <w:pPr/>
      <w:r>
        <w:rPr>
          <w:i w:val="0"/>
        </w:rPr>
        <w:t>The salt is not a substitute for obedience; it accompanies the offering as a required covenant sign.</w:t>
      </w:r>
    </w:p>
    <w:p>
      <w:pPr>
        <w:pStyle w:val="Heading1"/>
      </w:pPr>
      <w:r>
        <w:t>FIRSTFRUITS GRAIN — LEVITICUS 2:14–16</w:t>
      </w:r>
    </w:p>
    <w:p>
      <w:pPr>
        <w:pStyle w:val="Heading2"/>
      </w:pPr>
      <w:r>
        <w:t>Leviticus 2:14 — fresh grain roasted and crushed</w:t>
      </w:r>
    </w:p>
    <w:p>
      <w:pPr/>
      <w:r>
        <w:rPr>
          <w:i w:val="0"/>
        </w:rPr>
        <w:t>The firstfruits minchah uses aviv, fresh ears, qali, roasted/parched with fire, and geres karmel, crushed grain from fresh ears. KJV “green ears of corn” uses “corn” in the older generic sense of grain, not specifically maize.</w:t>
      </w:r>
    </w:p>
    <w:p>
      <w:pPr>
        <w:pStyle w:val="Heading2"/>
      </w:pPr>
      <w:r>
        <w:t>Leviticus 2:15–16 — oil, frankincense and memorial portion</w:t>
      </w:r>
    </w:p>
    <w:p>
      <w:pPr/>
      <w:r>
        <w:rPr>
          <w:i w:val="0"/>
        </w:rPr>
        <w:t>Oil and frankincense are added, and the priest burns the memorial portion from the crushed grain with its oil and frankincense. Firstfruits acknowledge Yahweh as giver of the harvest.</w:t>
      </w:r>
    </w:p>
    <w:p>
      <w:pPr>
        <w:pStyle w:val="Heading1"/>
      </w:pPr>
      <w:r>
        <w:t>SERVICE OFFERED THROUGH CHRIST</w:t>
      </w:r>
    </w:p>
    <w:p>
      <w:pPr>
        <w:pStyle w:val="Heading2"/>
      </w:pPr>
      <w:r>
        <w:t>Labour presented acceptably</w:t>
      </w:r>
    </w:p>
    <w:p>
      <w:pPr/>
      <w:r>
        <w:rPr>
          <w:i w:val="0"/>
        </w:rPr>
        <w:t>The New Testament calls believers to do all things to God’s glory and to offer spiritual sacrifices acceptable through Jesus Christ (1 Corinthians 10:31; 1 Peter 2:5). Mansfield’s application of the minchah to consecrated labour is therefore appropriate as moral typology, though the chapter itself remains a grain-offering law.</w:t>
      </w:r>
    </w:p>
    <w:p>
      <w:pPr>
        <w:pStyle w:val="Heading1"/>
      </w:pPr>
      <w:r>
        <w:t>PRINCIPAL THEMES</w:t>
      </w:r>
    </w:p>
    <w:p>
      <w:pPr>
        <w:ind w:left="259" w:hanging="202"/>
      </w:pPr>
      <w:r>
        <w:rPr>
          <w:b/>
        </w:rPr>
        <w:t xml:space="preserve">• </w:t>
      </w:r>
      <w:r>
        <w:t>KJV “meat offering” is a grain/meal offering in modern English.</w:t>
      </w:r>
    </w:p>
    <w:p>
      <w:pPr>
        <w:ind w:left="259" w:hanging="202"/>
      </w:pPr>
      <w:r>
        <w:rPr>
          <w:b/>
        </w:rPr>
        <w:t xml:space="preserve">• </w:t>
      </w:r>
      <w:r>
        <w:t>Fine flour, oil and frankincense are literal ingredients before they become typological symbols.</w:t>
      </w:r>
    </w:p>
    <w:p>
      <w:pPr>
        <w:ind w:left="259" w:hanging="202"/>
      </w:pPr>
      <w:r>
        <w:rPr>
          <w:b/>
        </w:rPr>
        <w:t xml:space="preserve">• </w:t>
      </w:r>
      <w:r>
        <w:t>A memorial portion goes to the altar and the remainder supports the priests.</w:t>
      </w:r>
    </w:p>
    <w:p>
      <w:pPr>
        <w:ind w:left="259" w:hanging="202"/>
      </w:pPr>
      <w:r>
        <w:rPr>
          <w:b/>
        </w:rPr>
        <w:t xml:space="preserve">• </w:t>
      </w:r>
      <w:r>
        <w:t>Different preparation methods preserve one common sacrificial principle.</w:t>
      </w:r>
    </w:p>
    <w:p>
      <w:pPr>
        <w:ind w:left="259" w:hanging="202"/>
      </w:pPr>
      <w:r>
        <w:rPr>
          <w:b/>
        </w:rPr>
        <w:t xml:space="preserve">• </w:t>
      </w:r>
      <w:r>
        <w:t>Leaven and honey are prohibited from altar burning without requiring universal negative symbolism.</w:t>
      </w:r>
    </w:p>
    <w:p>
      <w:pPr>
        <w:ind w:left="259" w:hanging="202"/>
      </w:pPr>
      <w:r>
        <w:rPr>
          <w:b/>
        </w:rPr>
        <w:t xml:space="preserve">• </w:t>
      </w:r>
      <w:r>
        <w:t>Salt is mandatory as “the salt of the covenant.”</w:t>
      </w:r>
    </w:p>
    <w:p>
      <w:pPr>
        <w:ind w:left="259" w:hanging="202"/>
      </w:pPr>
      <w:r>
        <w:rPr>
          <w:b/>
        </w:rPr>
        <w:t xml:space="preserve">• </w:t>
      </w:r>
      <w:r>
        <w:t>KJV “corn” in verse 14 means grain, not maize.</w:t>
      </w:r>
    </w:p>
    <w:p>
      <w:pPr>
        <w:ind w:left="259" w:hanging="202"/>
      </w:pPr>
      <w:r>
        <w:rPr>
          <w:b/>
        </w:rPr>
        <w:t xml:space="preserve">• </w:t>
      </w:r>
      <w:r>
        <w:t>Firstfruits acknowledge Yahweh as source of harvest and labour.</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Lev. 2 heading</w:t>
            </w:r>
          </w:p>
        </w:tc>
        <w:tc>
          <w:tcPr>
            <w:tcW w:type="dxa" w:w="3561"/>
            <w:vAlign w:val="top"/>
          </w:tcPr>
          <w:p>
            <w:pPr>
              <w:spacing w:after="0"/>
            </w:pPr>
            <w:r>
              <w:rPr>
                <w:rFonts w:ascii="Times New Roman" w:hAnsi="Times New Roman"/>
                <w:sz w:val="14"/>
              </w:rPr>
              <w:t>minchah</w:t>
            </w:r>
          </w:p>
        </w:tc>
        <w:tc>
          <w:tcPr>
            <w:tcW w:type="dxa" w:w="3561"/>
            <w:vAlign w:val="top"/>
          </w:tcPr>
          <w:p>
            <w:pPr>
              <w:spacing w:after="0"/>
            </w:pPr>
            <w:r>
              <w:rPr>
                <w:rFonts w:ascii="Times New Roman" w:hAnsi="Times New Roman"/>
                <w:sz w:val="14"/>
              </w:rPr>
              <w:t>Meal/grain offering; KJV “meat offering” is archaic.</w:t>
            </w:r>
          </w:p>
        </w:tc>
      </w:tr>
      <w:tr>
        <w:tc>
          <w:tcPr>
            <w:tcW w:type="dxa" w:w="3561"/>
            <w:vAlign w:val="top"/>
          </w:tcPr>
          <w:p>
            <w:pPr>
              <w:spacing w:after="0"/>
            </w:pPr>
            <w:r>
              <w:rPr>
                <w:rFonts w:ascii="Times New Roman" w:hAnsi="Times New Roman"/>
                <w:sz w:val="14"/>
              </w:rPr>
              <w:t>Lev. 2:1</w:t>
            </w:r>
          </w:p>
        </w:tc>
        <w:tc>
          <w:tcPr>
            <w:tcW w:type="dxa" w:w="3561"/>
            <w:vAlign w:val="top"/>
          </w:tcPr>
          <w:p>
            <w:pPr>
              <w:spacing w:after="0"/>
            </w:pPr>
            <w:r>
              <w:rPr>
                <w:rFonts w:ascii="Times New Roman" w:hAnsi="Times New Roman"/>
                <w:sz w:val="14"/>
              </w:rPr>
              <w:t>nephesh</w:t>
            </w:r>
          </w:p>
        </w:tc>
        <w:tc>
          <w:tcPr>
            <w:tcW w:type="dxa" w:w="3561"/>
            <w:vAlign w:val="top"/>
          </w:tcPr>
          <w:p>
            <w:pPr>
              <w:spacing w:after="0"/>
            </w:pPr>
            <w:r>
              <w:rPr>
                <w:rFonts w:ascii="Times New Roman" w:hAnsi="Times New Roman"/>
                <w:sz w:val="14"/>
              </w:rPr>
              <w:t>Person bringing the offering.</w:t>
            </w:r>
          </w:p>
        </w:tc>
      </w:tr>
      <w:tr>
        <w:tc>
          <w:tcPr>
            <w:tcW w:type="dxa" w:w="3561"/>
            <w:vAlign w:val="top"/>
          </w:tcPr>
          <w:p>
            <w:pPr>
              <w:spacing w:after="0"/>
            </w:pPr>
            <w:r>
              <w:rPr>
                <w:rFonts w:ascii="Times New Roman" w:hAnsi="Times New Roman"/>
                <w:sz w:val="14"/>
              </w:rPr>
              <w:t>Lev. 2:1</w:t>
            </w:r>
          </w:p>
        </w:tc>
        <w:tc>
          <w:tcPr>
            <w:tcW w:type="dxa" w:w="3561"/>
            <w:vAlign w:val="top"/>
          </w:tcPr>
          <w:p>
            <w:pPr>
              <w:spacing w:after="0"/>
            </w:pPr>
            <w:r>
              <w:rPr>
                <w:rFonts w:ascii="Times New Roman" w:hAnsi="Times New Roman"/>
                <w:sz w:val="14"/>
              </w:rPr>
              <w:t>soleth / shemen / levonah</w:t>
            </w:r>
          </w:p>
        </w:tc>
        <w:tc>
          <w:tcPr>
            <w:tcW w:type="dxa" w:w="3561"/>
            <w:vAlign w:val="top"/>
          </w:tcPr>
          <w:p>
            <w:pPr>
              <w:spacing w:after="0"/>
            </w:pPr>
            <w:r>
              <w:rPr>
                <w:rFonts w:ascii="Times New Roman" w:hAnsi="Times New Roman"/>
                <w:sz w:val="14"/>
              </w:rPr>
              <w:t>Fine flour / oil / frankincense.</w:t>
            </w:r>
          </w:p>
        </w:tc>
      </w:tr>
      <w:tr>
        <w:tc>
          <w:tcPr>
            <w:tcW w:type="dxa" w:w="3561"/>
            <w:vAlign w:val="top"/>
          </w:tcPr>
          <w:p>
            <w:pPr>
              <w:spacing w:after="0"/>
            </w:pPr>
            <w:r>
              <w:rPr>
                <w:rFonts w:ascii="Times New Roman" w:hAnsi="Times New Roman"/>
                <w:sz w:val="14"/>
              </w:rPr>
              <w:t>Lev. 2:2</w:t>
            </w:r>
          </w:p>
        </w:tc>
        <w:tc>
          <w:tcPr>
            <w:tcW w:type="dxa" w:w="3561"/>
            <w:vAlign w:val="top"/>
          </w:tcPr>
          <w:p>
            <w:pPr>
              <w:spacing w:after="0"/>
            </w:pPr>
            <w:r>
              <w:rPr>
                <w:rFonts w:ascii="Times New Roman" w:hAnsi="Times New Roman"/>
                <w:sz w:val="14"/>
              </w:rPr>
              <w:t>’azkarah</w:t>
            </w:r>
          </w:p>
        </w:tc>
        <w:tc>
          <w:tcPr>
            <w:tcW w:type="dxa" w:w="3561"/>
            <w:vAlign w:val="top"/>
          </w:tcPr>
          <w:p>
            <w:pPr>
              <w:spacing w:after="0"/>
            </w:pPr>
            <w:r>
              <w:rPr>
                <w:rFonts w:ascii="Times New Roman" w:hAnsi="Times New Roman"/>
                <w:sz w:val="14"/>
              </w:rPr>
              <w:t>Memorial portion burned on altar.</w:t>
            </w:r>
          </w:p>
        </w:tc>
      </w:tr>
      <w:tr>
        <w:tc>
          <w:tcPr>
            <w:tcW w:type="dxa" w:w="3561"/>
            <w:vAlign w:val="top"/>
          </w:tcPr>
          <w:p>
            <w:pPr>
              <w:spacing w:after="0"/>
            </w:pPr>
            <w:r>
              <w:rPr>
                <w:rFonts w:ascii="Times New Roman" w:hAnsi="Times New Roman"/>
                <w:sz w:val="14"/>
              </w:rPr>
              <w:t>Lev. 2:3</w:t>
            </w:r>
          </w:p>
        </w:tc>
        <w:tc>
          <w:tcPr>
            <w:tcW w:type="dxa" w:w="3561"/>
            <w:vAlign w:val="top"/>
          </w:tcPr>
          <w:p>
            <w:pPr>
              <w:spacing w:after="0"/>
            </w:pPr>
            <w:r>
              <w:rPr>
                <w:rFonts w:ascii="Times New Roman" w:hAnsi="Times New Roman"/>
                <w:sz w:val="14"/>
              </w:rPr>
              <w:t>qodesh qadashim</w:t>
            </w:r>
          </w:p>
        </w:tc>
        <w:tc>
          <w:tcPr>
            <w:tcW w:type="dxa" w:w="3561"/>
            <w:vAlign w:val="top"/>
          </w:tcPr>
          <w:p>
            <w:pPr>
              <w:spacing w:after="0"/>
            </w:pPr>
            <w:r>
              <w:rPr>
                <w:rFonts w:ascii="Times New Roman" w:hAnsi="Times New Roman"/>
                <w:sz w:val="14"/>
              </w:rPr>
              <w:t>Most holy priestly portion.</w:t>
            </w:r>
          </w:p>
        </w:tc>
      </w:tr>
      <w:tr>
        <w:tc>
          <w:tcPr>
            <w:tcW w:type="dxa" w:w="3561"/>
            <w:vAlign w:val="top"/>
          </w:tcPr>
          <w:p>
            <w:pPr>
              <w:spacing w:after="0"/>
            </w:pPr>
            <w:r>
              <w:rPr>
                <w:rFonts w:ascii="Times New Roman" w:hAnsi="Times New Roman"/>
                <w:sz w:val="14"/>
              </w:rPr>
              <w:t>Lev. 2:5</w:t>
            </w:r>
          </w:p>
        </w:tc>
        <w:tc>
          <w:tcPr>
            <w:tcW w:type="dxa" w:w="3561"/>
            <w:vAlign w:val="top"/>
          </w:tcPr>
          <w:p>
            <w:pPr>
              <w:spacing w:after="0"/>
            </w:pPr>
            <w:r>
              <w:rPr>
                <w:rFonts w:ascii="Times New Roman" w:hAnsi="Times New Roman"/>
                <w:sz w:val="14"/>
              </w:rPr>
              <w:t>machavath</w:t>
            </w:r>
          </w:p>
        </w:tc>
        <w:tc>
          <w:tcPr>
            <w:tcW w:type="dxa" w:w="3561"/>
            <w:vAlign w:val="top"/>
          </w:tcPr>
          <w:p>
            <w:pPr>
              <w:spacing w:after="0"/>
            </w:pPr>
            <w:r>
              <w:rPr>
                <w:rFonts w:ascii="Times New Roman" w:hAnsi="Times New Roman"/>
                <w:sz w:val="14"/>
              </w:rPr>
              <w:t>Pan/griddle; exact cookware equivalent approximate.</w:t>
            </w:r>
          </w:p>
        </w:tc>
      </w:tr>
      <w:tr>
        <w:tc>
          <w:tcPr>
            <w:tcW w:type="dxa" w:w="3561"/>
            <w:vAlign w:val="top"/>
          </w:tcPr>
          <w:p>
            <w:pPr>
              <w:spacing w:after="0"/>
            </w:pPr>
            <w:r>
              <w:rPr>
                <w:rFonts w:ascii="Times New Roman" w:hAnsi="Times New Roman"/>
                <w:sz w:val="14"/>
              </w:rPr>
              <w:t>Lev. 2:7</w:t>
            </w:r>
          </w:p>
        </w:tc>
        <w:tc>
          <w:tcPr>
            <w:tcW w:type="dxa" w:w="3561"/>
            <w:vAlign w:val="top"/>
          </w:tcPr>
          <w:p>
            <w:pPr>
              <w:spacing w:after="0"/>
            </w:pPr>
            <w:r>
              <w:rPr>
                <w:rFonts w:ascii="Times New Roman" w:hAnsi="Times New Roman"/>
                <w:sz w:val="14"/>
              </w:rPr>
              <w:t>marchesheth</w:t>
            </w:r>
          </w:p>
        </w:tc>
        <w:tc>
          <w:tcPr>
            <w:tcW w:type="dxa" w:w="3561"/>
            <w:vAlign w:val="top"/>
          </w:tcPr>
          <w:p>
            <w:pPr>
              <w:spacing w:after="0"/>
            </w:pPr>
            <w:r>
              <w:rPr>
                <w:rFonts w:ascii="Times New Roman" w:hAnsi="Times New Roman"/>
                <w:sz w:val="14"/>
              </w:rPr>
              <w:t>Deeper/cooking pan; exact form uncertain.</w:t>
            </w:r>
          </w:p>
        </w:tc>
      </w:tr>
      <w:tr>
        <w:tc>
          <w:tcPr>
            <w:tcW w:type="dxa" w:w="3561"/>
            <w:vAlign w:val="top"/>
          </w:tcPr>
          <w:p>
            <w:pPr>
              <w:spacing w:after="0"/>
            </w:pPr>
            <w:r>
              <w:rPr>
                <w:rFonts w:ascii="Times New Roman" w:hAnsi="Times New Roman"/>
                <w:sz w:val="14"/>
              </w:rPr>
              <w:t>Lev. 2:11</w:t>
            </w:r>
          </w:p>
        </w:tc>
        <w:tc>
          <w:tcPr>
            <w:tcW w:type="dxa" w:w="3561"/>
            <w:vAlign w:val="top"/>
          </w:tcPr>
          <w:p>
            <w:pPr>
              <w:spacing w:after="0"/>
            </w:pPr>
            <w:r>
              <w:rPr>
                <w:rFonts w:ascii="Times New Roman" w:hAnsi="Times New Roman"/>
                <w:sz w:val="14"/>
              </w:rPr>
              <w:t>se’or</w:t>
            </w:r>
          </w:p>
        </w:tc>
        <w:tc>
          <w:tcPr>
            <w:tcW w:type="dxa" w:w="3561"/>
            <w:vAlign w:val="top"/>
          </w:tcPr>
          <w:p>
            <w:pPr>
              <w:spacing w:after="0"/>
            </w:pPr>
            <w:r>
              <w:rPr>
                <w:rFonts w:ascii="Times New Roman" w:hAnsi="Times New Roman"/>
                <w:sz w:val="14"/>
              </w:rPr>
              <w:t>Leaven/leavening agent.</w:t>
            </w:r>
          </w:p>
        </w:tc>
      </w:tr>
      <w:tr>
        <w:tc>
          <w:tcPr>
            <w:tcW w:type="dxa" w:w="3561"/>
            <w:vAlign w:val="top"/>
          </w:tcPr>
          <w:p>
            <w:pPr>
              <w:spacing w:after="0"/>
            </w:pPr>
            <w:r>
              <w:rPr>
                <w:rFonts w:ascii="Times New Roman" w:hAnsi="Times New Roman"/>
                <w:sz w:val="14"/>
              </w:rPr>
              <w:t>Lev. 2:11</w:t>
            </w:r>
          </w:p>
        </w:tc>
        <w:tc>
          <w:tcPr>
            <w:tcW w:type="dxa" w:w="3561"/>
            <w:vAlign w:val="top"/>
          </w:tcPr>
          <w:p>
            <w:pPr>
              <w:spacing w:after="0"/>
            </w:pPr>
            <w:r>
              <w:rPr>
                <w:rFonts w:ascii="Times New Roman" w:hAnsi="Times New Roman"/>
                <w:sz w:val="14"/>
              </w:rPr>
              <w:t>devash</w:t>
            </w:r>
          </w:p>
        </w:tc>
        <w:tc>
          <w:tcPr>
            <w:tcW w:type="dxa" w:w="3561"/>
            <w:vAlign w:val="top"/>
          </w:tcPr>
          <w:p>
            <w:pPr>
              <w:spacing w:after="0"/>
            </w:pPr>
            <w:r>
              <w:rPr>
                <w:rFonts w:ascii="Times New Roman" w:hAnsi="Times New Roman"/>
                <w:sz w:val="14"/>
              </w:rPr>
              <w:t>Honey/sweet syrup; symbolism should remain cautious.</w:t>
            </w:r>
          </w:p>
        </w:tc>
      </w:tr>
      <w:tr>
        <w:tc>
          <w:tcPr>
            <w:tcW w:type="dxa" w:w="3561"/>
            <w:vAlign w:val="top"/>
          </w:tcPr>
          <w:p>
            <w:pPr>
              <w:spacing w:after="0"/>
            </w:pPr>
            <w:r>
              <w:rPr>
                <w:rFonts w:ascii="Times New Roman" w:hAnsi="Times New Roman"/>
                <w:sz w:val="14"/>
              </w:rPr>
              <w:t>Lev. 2:13</w:t>
            </w:r>
          </w:p>
        </w:tc>
        <w:tc>
          <w:tcPr>
            <w:tcW w:type="dxa" w:w="3561"/>
            <w:vAlign w:val="top"/>
          </w:tcPr>
          <w:p>
            <w:pPr>
              <w:spacing w:after="0"/>
            </w:pPr>
            <w:r>
              <w:rPr>
                <w:rFonts w:ascii="Times New Roman" w:hAnsi="Times New Roman"/>
                <w:sz w:val="14"/>
              </w:rPr>
              <w:t>melach</w:t>
            </w:r>
          </w:p>
        </w:tc>
        <w:tc>
          <w:tcPr>
            <w:tcW w:type="dxa" w:w="3561"/>
            <w:vAlign w:val="top"/>
          </w:tcPr>
          <w:p>
            <w:pPr>
              <w:spacing w:after="0"/>
            </w:pPr>
            <w:r>
              <w:rPr>
                <w:rFonts w:ascii="Times New Roman" w:hAnsi="Times New Roman"/>
                <w:sz w:val="14"/>
              </w:rPr>
              <w:t>Salt, required with every minchah.</w:t>
            </w:r>
          </w:p>
        </w:tc>
      </w:tr>
      <w:tr>
        <w:tc>
          <w:tcPr>
            <w:tcW w:type="dxa" w:w="3561"/>
            <w:vAlign w:val="top"/>
          </w:tcPr>
          <w:p>
            <w:pPr>
              <w:spacing w:after="0"/>
            </w:pPr>
            <w:r>
              <w:rPr>
                <w:rFonts w:ascii="Times New Roman" w:hAnsi="Times New Roman"/>
                <w:sz w:val="14"/>
              </w:rPr>
              <w:t>Num. 18:19</w:t>
            </w:r>
          </w:p>
        </w:tc>
        <w:tc>
          <w:tcPr>
            <w:tcW w:type="dxa" w:w="3561"/>
            <w:vAlign w:val="top"/>
          </w:tcPr>
          <w:p>
            <w:pPr>
              <w:spacing w:after="0"/>
            </w:pPr>
            <w:r>
              <w:rPr>
                <w:rFonts w:ascii="Times New Roman" w:hAnsi="Times New Roman"/>
                <w:sz w:val="14"/>
              </w:rPr>
              <w:t>covenant of salt</w:t>
            </w:r>
          </w:p>
        </w:tc>
        <w:tc>
          <w:tcPr>
            <w:tcW w:type="dxa" w:w="3561"/>
            <w:vAlign w:val="top"/>
          </w:tcPr>
          <w:p>
            <w:pPr>
              <w:spacing w:after="0"/>
            </w:pPr>
            <w:r>
              <w:rPr>
                <w:rFonts w:ascii="Times New Roman" w:hAnsi="Times New Roman"/>
                <w:sz w:val="14"/>
              </w:rPr>
              <w:t>Later Torah parallel for enduring covenant language.</w:t>
            </w:r>
          </w:p>
        </w:tc>
      </w:tr>
      <w:tr>
        <w:tc>
          <w:tcPr>
            <w:tcW w:type="dxa" w:w="3561"/>
            <w:vAlign w:val="top"/>
          </w:tcPr>
          <w:p>
            <w:pPr>
              <w:spacing w:after="0"/>
            </w:pPr>
            <w:r>
              <w:rPr>
                <w:rFonts w:ascii="Times New Roman" w:hAnsi="Times New Roman"/>
                <w:sz w:val="14"/>
              </w:rPr>
              <w:t>Lev. 2:14</w:t>
            </w:r>
          </w:p>
        </w:tc>
        <w:tc>
          <w:tcPr>
            <w:tcW w:type="dxa" w:w="3561"/>
            <w:vAlign w:val="top"/>
          </w:tcPr>
          <w:p>
            <w:pPr>
              <w:spacing w:after="0"/>
            </w:pPr>
            <w:r>
              <w:rPr>
                <w:rFonts w:ascii="Times New Roman" w:hAnsi="Times New Roman"/>
                <w:sz w:val="14"/>
              </w:rPr>
              <w:t>aviv / qali / geres karmel</w:t>
            </w:r>
          </w:p>
        </w:tc>
        <w:tc>
          <w:tcPr>
            <w:tcW w:type="dxa" w:w="3561"/>
            <w:vAlign w:val="top"/>
          </w:tcPr>
          <w:p>
            <w:pPr>
              <w:spacing w:after="0"/>
            </w:pPr>
            <w:r>
              <w:rPr>
                <w:rFonts w:ascii="Times New Roman" w:hAnsi="Times New Roman"/>
                <w:sz w:val="14"/>
              </w:rPr>
              <w:t>Fresh ears / parched grain / crushed fresh grain.</w:t>
            </w:r>
          </w:p>
        </w:tc>
      </w:tr>
      <w:tr>
        <w:tc>
          <w:tcPr>
            <w:tcW w:type="dxa" w:w="3561"/>
            <w:vAlign w:val="top"/>
          </w:tcPr>
          <w:p>
            <w:pPr>
              <w:spacing w:after="0"/>
            </w:pPr>
            <w:r>
              <w:rPr>
                <w:rFonts w:ascii="Times New Roman" w:hAnsi="Times New Roman"/>
                <w:sz w:val="14"/>
              </w:rPr>
              <w:t>Lev. 2:14</w:t>
            </w:r>
          </w:p>
        </w:tc>
        <w:tc>
          <w:tcPr>
            <w:tcW w:type="dxa" w:w="3561"/>
            <w:vAlign w:val="top"/>
          </w:tcPr>
          <w:p>
            <w:pPr>
              <w:spacing w:after="0"/>
            </w:pPr>
            <w:r>
              <w:rPr>
                <w:rFonts w:ascii="Times New Roman" w:hAnsi="Times New Roman"/>
                <w:sz w:val="14"/>
              </w:rPr>
              <w:t>“corn”</w:t>
            </w:r>
          </w:p>
        </w:tc>
        <w:tc>
          <w:tcPr>
            <w:tcW w:type="dxa" w:w="3561"/>
            <w:vAlign w:val="top"/>
          </w:tcPr>
          <w:p>
            <w:pPr>
              <w:spacing w:after="0"/>
            </w:pPr>
            <w:r>
              <w:rPr>
                <w:rFonts w:ascii="Times New Roman" w:hAnsi="Times New Roman"/>
                <w:sz w:val="14"/>
              </w:rPr>
              <w:t>Old English generic grain, not specifically maize.</w:t>
            </w:r>
          </w:p>
        </w:tc>
      </w:tr>
      <w:tr>
        <w:tc>
          <w:tcPr>
            <w:tcW w:type="dxa" w:w="3561"/>
            <w:vAlign w:val="top"/>
          </w:tcPr>
          <w:p>
            <w:pPr>
              <w:spacing w:after="0"/>
            </w:pPr>
            <w:r>
              <w:rPr>
                <w:rFonts w:ascii="Times New Roman" w:hAnsi="Times New Roman"/>
                <w:sz w:val="14"/>
              </w:rPr>
              <w:t>1 Pet. 2:5</w:t>
            </w:r>
          </w:p>
        </w:tc>
        <w:tc>
          <w:tcPr>
            <w:tcW w:type="dxa" w:w="3561"/>
            <w:vAlign w:val="top"/>
          </w:tcPr>
          <w:p>
            <w:pPr>
              <w:spacing w:after="0"/>
            </w:pPr>
            <w:r>
              <w:rPr>
                <w:rFonts w:ascii="Times New Roman" w:hAnsi="Times New Roman"/>
                <w:sz w:val="14"/>
              </w:rPr>
              <w:t>acceptable spiritual sacrifices</w:t>
            </w:r>
          </w:p>
        </w:tc>
        <w:tc>
          <w:tcPr>
            <w:tcW w:type="dxa" w:w="3561"/>
            <w:vAlign w:val="top"/>
          </w:tcPr>
          <w:p>
            <w:pPr>
              <w:spacing w:after="0"/>
            </w:pPr>
            <w:r>
              <w:rPr>
                <w:rFonts w:ascii="Times New Roman" w:hAnsi="Times New Roman"/>
                <w:sz w:val="14"/>
              </w:rPr>
              <w:t>Supports broad believer application through Christ.</w:t>
            </w:r>
          </w:p>
        </w:tc>
      </w:tr>
    </w:tbl>
    <w:p>
      <w:pPr>
        <w:pStyle w:val="Heading1"/>
      </w:pPr>
      <w:r>
        <w:t>RESIDUAL UNCERTAINTIES</w:t>
      </w:r>
    </w:p>
    <w:p>
      <w:pPr/>
      <w:r>
        <w:rPr>
          <w:i w:val="0"/>
        </w:rPr>
        <w:t>The exact shape of machavath and marchesheth and the precise botanical range of devash are not fully certain. Mansfield’s symbolic assignments to flour, oil, frankincense, leaven and honey remain typological; the direct legal distinctions concern ingredients and altar use.</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6"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6"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