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20</w:t>
      </w:r>
    </w:p>
    <w:p>
      <w:pPr>
        <w:pStyle w:val="Subtitle"/>
      </w:pPr>
      <w:r>
        <w:t>HOLINESS ENFORCED • MOLECH AND COMMUNAL RESPONSIBILITY • SPIRITISM • SANCTIFY YOURSELVES • FAMILY AND SEXUAL PENALTIES • THE LAND • CLEAN AND UNCLEAN • “SEVERED YOU … THAT YE SHOULD BE MINE”</w:t>
      </w:r>
    </w:p>
    <w:p>
      <w:pPr/>
      <w:r>
        <w:rPr>
          <w:i/>
        </w:rPr>
        <w:t>H. P. Mansfield Bible notes — checked and arranged in verse-by-verse Expositor style</w:t>
      </w:r>
    </w:p>
    <w:p>
      <w:pPr/>
      <w:r>
        <w:rPr>
          <w:i w:val="0"/>
        </w:rPr>
        <w:t>Source: HPB03, Leviticus 20 annotated pages</w:t>
      </w:r>
    </w:p>
    <w:p>
      <w:pPr>
        <w:pStyle w:val="Heading1"/>
      </w:pPr>
      <w:r>
        <w:t>CHAPTER OVERVIEW</w:t>
      </w:r>
    </w:p>
    <w:p>
      <w:pPr/>
      <w:r>
        <w:rPr>
          <w:i w:val="0"/>
        </w:rPr>
        <w:t>Leviticus 20 returns to several acts prohibited in chapter 18 and states Israel’s covenant-civil penalties. Mansfield’s boxed phrase “unforgivable sins” needs qualification: a capital penalty under Mosaic national law does not mean that a repentant sinner lies beyond God’s forgiveness or resurrection judgment.</w:t>
      </w:r>
    </w:p>
    <w:p>
      <w:pPr/>
      <w:r>
        <w:rPr>
          <w:i w:val="0"/>
        </w:rPr>
        <w:t>The chapter’s focus is public covenant holiness. Idolatry, spiritism, grave sexual violations and contempt for family order are not treated as private when they corrupt the holy nation. Yet these judicial penalties belonged to Israel’s theocratic covenant and must not be transferred directly into modern vigilante or ecclesial violence.</w:t>
      </w:r>
    </w:p>
    <w:p>
      <w:pPr>
        <w:pStyle w:val="Heading1"/>
      </w:pPr>
      <w:r>
        <w:t>MOLECH, SPIRITISM AND SANCTIFICATION — LEVITICUS 20:1–8</w:t>
      </w:r>
    </w:p>
    <w:p>
      <w:pPr>
        <w:pStyle w:val="Heading2"/>
      </w:pPr>
      <w:r>
        <w:t>Leviticus 20:1–5 — Molech and those who hide their eyes</w:t>
      </w:r>
    </w:p>
    <w:p>
      <w:pPr/>
      <w:r>
        <w:rPr>
          <w:i w:val="0"/>
        </w:rPr>
        <w:t>Giving offspring to Molech carries the national death penalty. The offence defiles Yahweh’s sanctuary and profanes His holy Name. If the people deliberately “hide their eyes” from the act and fail to enforce the covenant judgment, Yahweh says He will set His face against the offender and those following the idolatry.</w:t>
      </w:r>
    </w:p>
    <w:p>
      <w:pPr/>
      <w:r>
        <w:rPr>
          <w:i w:val="0"/>
        </w:rPr>
        <w:t>The passage therefore addresses public complicity with flagrant covenant violation, not suspicion without evidence.</w:t>
      </w:r>
    </w:p>
    <w:p>
      <w:pPr>
        <w:pStyle w:val="Heading2"/>
      </w:pPr>
      <w:r>
        <w:t>Leviticus 20:6 — mediums and spiritists</w:t>
      </w:r>
    </w:p>
    <w:p>
      <w:pPr/>
      <w:r>
        <w:rPr>
          <w:i w:val="0"/>
        </w:rPr>
        <w:t>A person turning to ’ovoth and yidde‘onim in spiritual prostitution faces being cut off by Yahweh. Israel is not to seek hidden knowledge or mediation through spirit practices in place of Yahweh’s revelation.</w:t>
      </w:r>
    </w:p>
    <w:p>
      <w:pPr>
        <w:pStyle w:val="Heading2"/>
      </w:pPr>
      <w:r>
        <w:t>Leviticus 20:7–8 — sanctify yourselves because Yahweh sanctifies</w:t>
      </w:r>
    </w:p>
    <w:p>
      <w:pPr/>
      <w:r>
        <w:rPr>
          <w:i w:val="0"/>
        </w:rPr>
        <w:t>“Sanctify yourselves therefore, and be ye holy.” Human response and Divine action stand together: Israel must keep Yahweh’s statutes, while Yahweh declares, “I am Yahweh which sanctify you.” Holiness is both calling and required obedience.</w:t>
      </w:r>
    </w:p>
    <w:p>
      <w:pPr>
        <w:pStyle w:val="Heading1"/>
      </w:pPr>
      <w:r>
        <w:t>PARENTS AND SERIOUS SEXUAL OFFENCES — LEVITICUS 20:9–16</w:t>
      </w:r>
    </w:p>
    <w:p>
      <w:pPr>
        <w:pStyle w:val="Heading2"/>
      </w:pPr>
      <w:r>
        <w:t>Leviticus 20:9 — cursing father or mother</w:t>
      </w:r>
    </w:p>
    <w:p>
      <w:pPr/>
      <w:r>
        <w:rPr>
          <w:i w:val="0"/>
        </w:rPr>
        <w:t>Cursing father or mother carries the covenant death penalty, underlining the seriousness of contemptuous rejection of family authority. “His blood shall be upon him” is a judicial responsibility formula, not permission for private vengeance.</w:t>
      </w:r>
    </w:p>
    <w:p>
      <w:pPr>
        <w:pStyle w:val="Heading2"/>
      </w:pPr>
      <w:r>
        <w:t>Leviticus 20:10–12 — adultery and close-household violations</w:t>
      </w:r>
    </w:p>
    <w:p>
      <w:pPr/>
      <w:r>
        <w:rPr>
          <w:i w:val="0"/>
        </w:rPr>
        <w:t>Adultery, intercourse with a father’s wife and intercourse with a daughter-in-law receive capital penalties under Israel’s law. These are aggravated breaches of the sexual boundaries already set in chapter 18.</w:t>
      </w:r>
    </w:p>
    <w:p>
      <w:pPr>
        <w:pStyle w:val="Heading2"/>
      </w:pPr>
      <w:r>
        <w:t>Leviticus 20:13 — male same-sex intercourse</w:t>
      </w:r>
    </w:p>
    <w:p>
      <w:pPr/>
      <w:r>
        <w:rPr>
          <w:i w:val="0"/>
        </w:rPr>
        <w:t>A man lying with a male as with a woman is again prohibited and here receives the Mosaic national penalty. The verse concerns the act and its covenant penalty; it gives no licence for hatred, abuse or private punishment of persons.</w:t>
      </w:r>
    </w:p>
    <w:p>
      <w:pPr>
        <w:pStyle w:val="Heading2"/>
      </w:pPr>
      <w:r>
        <w:t>Leviticus 20:14 — woman and her mother</w:t>
      </w:r>
    </w:p>
    <w:p>
      <w:pPr/>
      <w:r>
        <w:rPr>
          <w:i w:val="0"/>
        </w:rPr>
        <w:t>Taking a woman and her mother is zimmah, depravity/wickedness, and the legal formula prescribes burning with fire. The precise execution procedure is not expanded here; it is safest to state the biblical penalty without speculative reconstruction.</w:t>
      </w:r>
    </w:p>
    <w:p>
      <w:pPr>
        <w:pStyle w:val="Heading2"/>
      </w:pPr>
      <w:r>
        <w:t>Leviticus 20:15–16 — bestiality</w:t>
      </w:r>
    </w:p>
    <w:p>
      <w:pPr/>
      <w:r>
        <w:rPr>
          <w:i w:val="0"/>
        </w:rPr>
        <w:t>Human-animal sexual intercourse is prohibited for male and female and receives severe covenant penalties, corresponding to the prohibition in 18:23.</w:t>
      </w:r>
    </w:p>
    <w:p>
      <w:pPr>
        <w:pStyle w:val="Heading1"/>
      </w:pPr>
      <w:r>
        <w:t>OTHER INCESTUOUS RELATIONS — LEVITICUS 20:17–21</w:t>
      </w:r>
    </w:p>
    <w:p>
      <w:pPr>
        <w:pStyle w:val="Heading2"/>
      </w:pPr>
      <w:r>
        <w:t>Leviticus 20:17–19 — sibling and other near-kin relations</w:t>
      </w:r>
    </w:p>
    <w:p>
      <w:pPr/>
      <w:r>
        <w:rPr>
          <w:i w:val="0"/>
        </w:rPr>
        <w:t>Sex with a sister/half-sister is condemned as chesed in this rare negative use, commonly understood as disgrace/shameful thing; both bear iniquity. Sex during menstrual impurity and sex with aunt-relations also bring covenant consequences.</w:t>
      </w:r>
    </w:p>
    <w:p>
      <w:pPr/>
      <w:r>
        <w:rPr>
          <w:i w:val="0"/>
        </w:rPr>
        <w:t>The unusual word chesed here should not be confused with the far more common positive chesed meaning steadfast love; context governs the rare usage.</w:t>
      </w:r>
    </w:p>
    <w:p>
      <w:pPr>
        <w:pStyle w:val="Heading2"/>
      </w:pPr>
      <w:r>
        <w:t>Leviticus 20:20–21 — uncle’s wife and brother’s wife</w:t>
      </w:r>
    </w:p>
    <w:p>
      <w:pPr/>
      <w:r>
        <w:rPr>
          <w:i w:val="0"/>
        </w:rPr>
        <w:t>Taking an uncle’s wife or brother’s wife brings stated covenant consequences of childlessness. The brother’s-wife rule must be read with Deuteronomy 25:5–10, where the childless widow of a deceased brother is the specific levirate exception commanded by law.</w:t>
      </w:r>
    </w:p>
    <w:p>
      <w:pPr>
        <w:pStyle w:val="Heading1"/>
      </w:pPr>
      <w:r>
        <w:t>THE LAND, SEPARATION AND CLEANNESS — LEVITICUS 20:22–27</w:t>
      </w:r>
    </w:p>
    <w:p>
      <w:pPr>
        <w:pStyle w:val="Heading2"/>
      </w:pPr>
      <w:r>
        <w:t>Leviticus 20:22–24 — do not be vomited from the land</w:t>
      </w:r>
    </w:p>
    <w:p>
      <w:pPr/>
      <w:r>
        <w:rPr>
          <w:i w:val="0"/>
        </w:rPr>
        <w:t>Israel must keep Yahweh’s statutes lest the land vomit them out as it did the nations. Yahweh has separated Israel from the peoples and given the land, so election increases rather than removes responsibility.</w:t>
      </w:r>
    </w:p>
    <w:p>
      <w:pPr>
        <w:pStyle w:val="Heading2"/>
      </w:pPr>
      <w:r>
        <w:t>Leviticus 20:25–26 — distinguish clean and unclean; be Mine</w:t>
      </w:r>
    </w:p>
    <w:p>
      <w:pPr/>
      <w:r>
        <w:rPr>
          <w:i w:val="0"/>
        </w:rPr>
        <w:t>Israel must distinguish clean from unclean animals and not make itself detestable. The conclusion gives the goal of separation: “ye shall be holy unto me … I have severed you from other people, that ye should be mine.” Holiness is separation unto Yahweh, not ethnic pride.</w:t>
      </w:r>
    </w:p>
    <w:p>
      <w:pPr>
        <w:pStyle w:val="Heading2"/>
      </w:pPr>
      <w:r>
        <w:t>Leviticus 20:27 — mediums/spiritists under national judgment</w:t>
      </w:r>
    </w:p>
    <w:p>
      <w:pPr/>
      <w:r>
        <w:rPr>
          <w:i w:val="0"/>
        </w:rPr>
        <w:t>A man or woman functioning as an ’ov or yidde‘oni is subject to Israel’s national death penalty. This is the civil enforcement counterpart to the personal prohibition of verse 6.</w:t>
      </w:r>
    </w:p>
    <w:p>
      <w:pPr>
        <w:pStyle w:val="Heading1"/>
      </w:pPr>
      <w:r>
        <w:t>CIVIL PENALTY IS NOT “UNFORGIVABLE SIN”</w:t>
      </w:r>
    </w:p>
    <w:p>
      <w:pPr>
        <w:pStyle w:val="Heading2"/>
      </w:pPr>
      <w:r>
        <w:t>Mosaic judgment and Divine forgiveness must be distinguished</w:t>
      </w:r>
    </w:p>
    <w:p>
      <w:pPr/>
      <w:r>
        <w:rPr>
          <w:i w:val="0"/>
        </w:rPr>
        <w:t>Some acts in Leviticus 20 carried irreversible civil penalties in Israel. That does not establish a category of sins which God cannot forgive. First Corinthians 6:9–11 lists grave sexual sins and then says of believers, “such were some of you: but ye are washed … justified.”</w:t>
      </w:r>
    </w:p>
    <w:p>
      <w:pPr/>
      <w:r>
        <w:rPr>
          <w:i w:val="0"/>
        </w:rPr>
        <w:t>Mansfield’s heading is best understood as “sins carrying no civil remission under the Law,” not as a denial of repentance and forgiveness through Christ.</w:t>
      </w:r>
    </w:p>
    <w:p>
      <w:pPr>
        <w:pStyle w:val="Heading1"/>
      </w:pPr>
      <w:r>
        <w:t>PRINCIPAL THEMES</w:t>
      </w:r>
    </w:p>
    <w:p>
      <w:pPr>
        <w:ind w:left="259" w:hanging="202"/>
      </w:pPr>
      <w:r>
        <w:rPr>
          <w:b/>
        </w:rPr>
        <w:t xml:space="preserve">• </w:t>
      </w:r>
      <w:r>
        <w:t>Leviticus 20 states civil covenant penalties for offences prohibited earlier.</w:t>
      </w:r>
    </w:p>
    <w:p>
      <w:pPr>
        <w:ind w:left="259" w:hanging="202"/>
      </w:pPr>
      <w:r>
        <w:rPr>
          <w:b/>
        </w:rPr>
        <w:t xml:space="preserve">• </w:t>
      </w:r>
      <w:r>
        <w:t>A Mosaic death penalty does not mean the sinner is beyond Divine forgiveness.</w:t>
      </w:r>
    </w:p>
    <w:p>
      <w:pPr>
        <w:ind w:left="259" w:hanging="202"/>
      </w:pPr>
      <w:r>
        <w:rPr>
          <w:b/>
        </w:rPr>
        <w:t xml:space="preserve">• </w:t>
      </w:r>
      <w:r>
        <w:t>Community leaders are accountable if they deliberately protect open Molech worship.</w:t>
      </w:r>
    </w:p>
    <w:p>
      <w:pPr>
        <w:ind w:left="259" w:hanging="202"/>
      </w:pPr>
      <w:r>
        <w:rPr>
          <w:b/>
        </w:rPr>
        <w:t xml:space="preserve">• </w:t>
      </w:r>
      <w:r>
        <w:t>Holiness is both Yahweh’s sanctifying work and Israel’s required response.</w:t>
      </w:r>
    </w:p>
    <w:p>
      <w:pPr>
        <w:ind w:left="259" w:hanging="202"/>
      </w:pPr>
      <w:r>
        <w:rPr>
          <w:b/>
        </w:rPr>
        <w:t xml:space="preserve">• </w:t>
      </w:r>
      <w:r>
        <w:t>The chapter protects family and sexual boundaries through national law.</w:t>
      </w:r>
    </w:p>
    <w:p>
      <w:pPr>
        <w:ind w:left="259" w:hanging="202"/>
      </w:pPr>
      <w:r>
        <w:rPr>
          <w:b/>
        </w:rPr>
        <w:t xml:space="preserve">• </w:t>
      </w:r>
      <w:r>
        <w:t>Civil penalties belong to Israel’s theocratic covenant and do not authorise private or modern religious violence.</w:t>
      </w:r>
    </w:p>
    <w:p>
      <w:pPr>
        <w:ind w:left="259" w:hanging="202"/>
      </w:pPr>
      <w:r>
        <w:rPr>
          <w:b/>
        </w:rPr>
        <w:t xml:space="preserve">• </w:t>
      </w:r>
      <w:r>
        <w:t>The brother’s-wife prohibition has an explicit levirate exception in Deuteronomy 25.</w:t>
      </w:r>
    </w:p>
    <w:p>
      <w:pPr>
        <w:ind w:left="259" w:hanging="202"/>
      </w:pPr>
      <w:r>
        <w:rPr>
          <w:b/>
        </w:rPr>
        <w:t xml:space="preserve">• </w:t>
      </w:r>
      <w:r>
        <w:t>Israel’s separation is unto Yahweh: “that ye should be mine.”</w:t>
      </w:r>
    </w:p>
    <w:p>
      <w:pPr>
        <w:ind w:left="259" w:hanging="202"/>
      </w:pPr>
      <w:r>
        <w:rPr>
          <w:b/>
        </w:rPr>
        <w:t xml:space="preserve">• </w:t>
      </w:r>
      <w:r>
        <w:t>First Corinthians 6 demonstrates that serious sexual sinners can repent, be washed and justified.</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Lev. 20:2–5</w:t>
            </w:r>
          </w:p>
        </w:tc>
        <w:tc>
          <w:tcPr>
            <w:tcW w:type="dxa" w:w="3561"/>
            <w:vAlign w:val="top"/>
          </w:tcPr>
          <w:p>
            <w:pPr>
              <w:spacing w:after="0"/>
            </w:pPr>
            <w:r>
              <w:rPr>
                <w:rFonts w:ascii="Times New Roman" w:hAnsi="Times New Roman"/>
                <w:sz w:val="14"/>
              </w:rPr>
              <w:t>Molech penalty + complicity</w:t>
            </w:r>
          </w:p>
        </w:tc>
        <w:tc>
          <w:tcPr>
            <w:tcW w:type="dxa" w:w="3561"/>
            <w:vAlign w:val="top"/>
          </w:tcPr>
          <w:p>
            <w:pPr>
              <w:spacing w:after="0"/>
            </w:pPr>
            <w:r>
              <w:rPr>
                <w:rFonts w:ascii="Times New Roman" w:hAnsi="Times New Roman"/>
                <w:sz w:val="14"/>
              </w:rPr>
              <w:t>National judgment; deliberate community concealment also condemned.</w:t>
            </w:r>
          </w:p>
        </w:tc>
      </w:tr>
      <w:tr>
        <w:tc>
          <w:tcPr>
            <w:tcW w:type="dxa" w:w="3561"/>
            <w:vAlign w:val="top"/>
          </w:tcPr>
          <w:p>
            <w:pPr>
              <w:spacing w:after="0"/>
            </w:pPr>
            <w:r>
              <w:rPr>
                <w:rFonts w:ascii="Times New Roman" w:hAnsi="Times New Roman"/>
                <w:sz w:val="14"/>
              </w:rPr>
              <w:t>Lev. 20:6</w:t>
            </w:r>
          </w:p>
        </w:tc>
        <w:tc>
          <w:tcPr>
            <w:tcW w:type="dxa" w:w="3561"/>
            <w:vAlign w:val="top"/>
          </w:tcPr>
          <w:p>
            <w:pPr>
              <w:spacing w:after="0"/>
            </w:pPr>
            <w:r>
              <w:rPr>
                <w:rFonts w:ascii="Times New Roman" w:hAnsi="Times New Roman"/>
                <w:sz w:val="14"/>
              </w:rPr>
              <w:t>’ovoth / yidde‘onim</w:t>
            </w:r>
          </w:p>
        </w:tc>
        <w:tc>
          <w:tcPr>
            <w:tcW w:type="dxa" w:w="3561"/>
            <w:vAlign w:val="top"/>
          </w:tcPr>
          <w:p>
            <w:pPr>
              <w:spacing w:after="0"/>
            </w:pPr>
            <w:r>
              <w:rPr>
                <w:rFonts w:ascii="Times New Roman" w:hAnsi="Times New Roman"/>
                <w:sz w:val="14"/>
              </w:rPr>
              <w:t>Medium/familiar-spirit practices / spiritists.</w:t>
            </w:r>
          </w:p>
        </w:tc>
      </w:tr>
      <w:tr>
        <w:tc>
          <w:tcPr>
            <w:tcW w:type="dxa" w:w="3561"/>
            <w:vAlign w:val="top"/>
          </w:tcPr>
          <w:p>
            <w:pPr>
              <w:spacing w:after="0"/>
            </w:pPr>
            <w:r>
              <w:rPr>
                <w:rFonts w:ascii="Times New Roman" w:hAnsi="Times New Roman"/>
                <w:sz w:val="14"/>
              </w:rPr>
              <w:t>Lev. 20:7–8</w:t>
            </w:r>
          </w:p>
        </w:tc>
        <w:tc>
          <w:tcPr>
            <w:tcW w:type="dxa" w:w="3561"/>
            <w:vAlign w:val="top"/>
          </w:tcPr>
          <w:p>
            <w:pPr>
              <w:spacing w:after="0"/>
            </w:pPr>
            <w:r>
              <w:rPr>
                <w:rFonts w:ascii="Times New Roman" w:hAnsi="Times New Roman"/>
                <w:sz w:val="14"/>
              </w:rPr>
              <w:t>sanctify / Yahweh sanctifies</w:t>
            </w:r>
          </w:p>
        </w:tc>
        <w:tc>
          <w:tcPr>
            <w:tcW w:type="dxa" w:w="3561"/>
            <w:vAlign w:val="top"/>
          </w:tcPr>
          <w:p>
            <w:pPr>
              <w:spacing w:after="0"/>
            </w:pPr>
            <w:r>
              <w:rPr>
                <w:rFonts w:ascii="Times New Roman" w:hAnsi="Times New Roman"/>
                <w:sz w:val="14"/>
              </w:rPr>
              <w:t>Human response joined with Divine consecration.</w:t>
            </w:r>
          </w:p>
        </w:tc>
      </w:tr>
      <w:tr>
        <w:tc>
          <w:tcPr>
            <w:tcW w:type="dxa" w:w="3561"/>
            <w:vAlign w:val="top"/>
          </w:tcPr>
          <w:p>
            <w:pPr>
              <w:spacing w:after="0"/>
            </w:pPr>
            <w:r>
              <w:rPr>
                <w:rFonts w:ascii="Times New Roman" w:hAnsi="Times New Roman"/>
                <w:sz w:val="14"/>
              </w:rPr>
              <w:t>Lev. 20:9</w:t>
            </w:r>
          </w:p>
        </w:tc>
        <w:tc>
          <w:tcPr>
            <w:tcW w:type="dxa" w:w="3561"/>
            <w:vAlign w:val="top"/>
          </w:tcPr>
          <w:p>
            <w:pPr>
              <w:spacing w:after="0"/>
            </w:pPr>
            <w:r>
              <w:rPr>
                <w:rFonts w:ascii="Times New Roman" w:hAnsi="Times New Roman"/>
                <w:sz w:val="14"/>
              </w:rPr>
              <w:t>“blood upon him”</w:t>
            </w:r>
          </w:p>
        </w:tc>
        <w:tc>
          <w:tcPr>
            <w:tcW w:type="dxa" w:w="3561"/>
            <w:vAlign w:val="top"/>
          </w:tcPr>
          <w:p>
            <w:pPr>
              <w:spacing w:after="0"/>
            </w:pPr>
            <w:r>
              <w:rPr>
                <w:rFonts w:ascii="Times New Roman" w:hAnsi="Times New Roman"/>
                <w:sz w:val="14"/>
              </w:rPr>
              <w:t>Judicial responsibility formula, not private revenge permission.</w:t>
            </w:r>
          </w:p>
        </w:tc>
      </w:tr>
      <w:tr>
        <w:tc>
          <w:tcPr>
            <w:tcW w:type="dxa" w:w="3561"/>
            <w:vAlign w:val="top"/>
          </w:tcPr>
          <w:p>
            <w:pPr>
              <w:spacing w:after="0"/>
            </w:pPr>
            <w:r>
              <w:rPr>
                <w:rFonts w:ascii="Times New Roman" w:hAnsi="Times New Roman"/>
                <w:sz w:val="14"/>
              </w:rPr>
              <w:t>Lev. 20:10–12</w:t>
            </w:r>
          </w:p>
        </w:tc>
        <w:tc>
          <w:tcPr>
            <w:tcW w:type="dxa" w:w="3561"/>
            <w:vAlign w:val="top"/>
          </w:tcPr>
          <w:p>
            <w:pPr>
              <w:spacing w:after="0"/>
            </w:pPr>
            <w:r>
              <w:rPr>
                <w:rFonts w:ascii="Times New Roman" w:hAnsi="Times New Roman"/>
                <w:sz w:val="14"/>
              </w:rPr>
              <w:t>adultery/household sexual offences</w:t>
            </w:r>
          </w:p>
        </w:tc>
        <w:tc>
          <w:tcPr>
            <w:tcW w:type="dxa" w:w="3561"/>
            <w:vAlign w:val="top"/>
          </w:tcPr>
          <w:p>
            <w:pPr>
              <w:spacing w:after="0"/>
            </w:pPr>
            <w:r>
              <w:rPr>
                <w:rFonts w:ascii="Times New Roman" w:hAnsi="Times New Roman"/>
                <w:sz w:val="14"/>
              </w:rPr>
              <w:t>Capital penalties under Mosaic national law.</w:t>
            </w:r>
          </w:p>
        </w:tc>
      </w:tr>
      <w:tr>
        <w:tc>
          <w:tcPr>
            <w:tcW w:type="dxa" w:w="3561"/>
            <w:vAlign w:val="top"/>
          </w:tcPr>
          <w:p>
            <w:pPr>
              <w:spacing w:after="0"/>
            </w:pPr>
            <w:r>
              <w:rPr>
                <w:rFonts w:ascii="Times New Roman" w:hAnsi="Times New Roman"/>
                <w:sz w:val="14"/>
              </w:rPr>
              <w:t>Lev. 20:13</w:t>
            </w:r>
          </w:p>
        </w:tc>
        <w:tc>
          <w:tcPr>
            <w:tcW w:type="dxa" w:w="3561"/>
            <w:vAlign w:val="top"/>
          </w:tcPr>
          <w:p>
            <w:pPr>
              <w:spacing w:after="0"/>
            </w:pPr>
            <w:r>
              <w:rPr>
                <w:rFonts w:ascii="Times New Roman" w:hAnsi="Times New Roman"/>
                <w:sz w:val="14"/>
              </w:rPr>
              <w:t>male same-sex act</w:t>
            </w:r>
          </w:p>
        </w:tc>
        <w:tc>
          <w:tcPr>
            <w:tcW w:type="dxa" w:w="3561"/>
            <w:vAlign w:val="top"/>
          </w:tcPr>
          <w:p>
            <w:pPr>
              <w:spacing w:after="0"/>
            </w:pPr>
            <w:r>
              <w:rPr>
                <w:rFonts w:ascii="Times New Roman" w:hAnsi="Times New Roman"/>
                <w:sz w:val="14"/>
              </w:rPr>
              <w:t>Act prohibited with national covenant penalty; no licence for personal abuse.</w:t>
            </w:r>
          </w:p>
        </w:tc>
      </w:tr>
      <w:tr>
        <w:tc>
          <w:tcPr>
            <w:tcW w:type="dxa" w:w="3561"/>
            <w:vAlign w:val="top"/>
          </w:tcPr>
          <w:p>
            <w:pPr>
              <w:spacing w:after="0"/>
            </w:pPr>
            <w:r>
              <w:rPr>
                <w:rFonts w:ascii="Times New Roman" w:hAnsi="Times New Roman"/>
                <w:sz w:val="14"/>
              </w:rPr>
              <w:t>Lev. 20:14</w:t>
            </w:r>
          </w:p>
        </w:tc>
        <w:tc>
          <w:tcPr>
            <w:tcW w:type="dxa" w:w="3561"/>
            <w:vAlign w:val="top"/>
          </w:tcPr>
          <w:p>
            <w:pPr>
              <w:spacing w:after="0"/>
            </w:pPr>
            <w:r>
              <w:rPr>
                <w:rFonts w:ascii="Times New Roman" w:hAnsi="Times New Roman"/>
                <w:sz w:val="14"/>
              </w:rPr>
              <w:t>zimmah / burning</w:t>
            </w:r>
          </w:p>
        </w:tc>
        <w:tc>
          <w:tcPr>
            <w:tcW w:type="dxa" w:w="3561"/>
            <w:vAlign w:val="top"/>
          </w:tcPr>
          <w:p>
            <w:pPr>
              <w:spacing w:after="0"/>
            </w:pPr>
            <w:r>
              <w:rPr>
                <w:rFonts w:ascii="Times New Roman" w:hAnsi="Times New Roman"/>
                <w:sz w:val="14"/>
              </w:rPr>
              <w:t>Wickedness/depravity; biblical penalty stated, procedure not expanded.</w:t>
            </w:r>
          </w:p>
        </w:tc>
      </w:tr>
      <w:tr>
        <w:tc>
          <w:tcPr>
            <w:tcW w:type="dxa" w:w="3561"/>
            <w:vAlign w:val="top"/>
          </w:tcPr>
          <w:p>
            <w:pPr>
              <w:spacing w:after="0"/>
            </w:pPr>
            <w:r>
              <w:rPr>
                <w:rFonts w:ascii="Times New Roman" w:hAnsi="Times New Roman"/>
                <w:sz w:val="14"/>
              </w:rPr>
              <w:t>Lev. 20:17</w:t>
            </w:r>
          </w:p>
        </w:tc>
        <w:tc>
          <w:tcPr>
            <w:tcW w:type="dxa" w:w="3561"/>
            <w:vAlign w:val="top"/>
          </w:tcPr>
          <w:p>
            <w:pPr>
              <w:spacing w:after="0"/>
            </w:pPr>
            <w:r>
              <w:rPr>
                <w:rFonts w:ascii="Times New Roman" w:hAnsi="Times New Roman"/>
                <w:sz w:val="14"/>
              </w:rPr>
              <w:t>chesed</w:t>
            </w:r>
          </w:p>
        </w:tc>
        <w:tc>
          <w:tcPr>
            <w:tcW w:type="dxa" w:w="3561"/>
            <w:vAlign w:val="top"/>
          </w:tcPr>
          <w:p>
            <w:pPr>
              <w:spacing w:after="0"/>
            </w:pPr>
            <w:r>
              <w:rPr>
                <w:rFonts w:ascii="Times New Roman" w:hAnsi="Times New Roman"/>
                <w:sz w:val="14"/>
              </w:rPr>
              <w:t>Rare negative sense: disgrace/shameful act, unlike usual “steadfast love.”</w:t>
            </w:r>
          </w:p>
        </w:tc>
      </w:tr>
      <w:tr>
        <w:tc>
          <w:tcPr>
            <w:tcW w:type="dxa" w:w="3561"/>
            <w:vAlign w:val="top"/>
          </w:tcPr>
          <w:p>
            <w:pPr>
              <w:spacing w:after="0"/>
            </w:pPr>
            <w:r>
              <w:rPr>
                <w:rFonts w:ascii="Times New Roman" w:hAnsi="Times New Roman"/>
                <w:sz w:val="14"/>
              </w:rPr>
              <w:t>Lev. 20:18</w:t>
            </w:r>
          </w:p>
        </w:tc>
        <w:tc>
          <w:tcPr>
            <w:tcW w:type="dxa" w:w="3561"/>
            <w:vAlign w:val="top"/>
          </w:tcPr>
          <w:p>
            <w:pPr>
              <w:spacing w:after="0"/>
            </w:pPr>
            <w:r>
              <w:rPr>
                <w:rFonts w:ascii="Times New Roman" w:hAnsi="Times New Roman"/>
                <w:sz w:val="14"/>
              </w:rPr>
              <w:t>menstrual intercourse</w:t>
            </w:r>
          </w:p>
        </w:tc>
        <w:tc>
          <w:tcPr>
            <w:tcW w:type="dxa" w:w="3561"/>
            <w:vAlign w:val="top"/>
          </w:tcPr>
          <w:p>
            <w:pPr>
              <w:spacing w:after="0"/>
            </w:pPr>
            <w:r>
              <w:rPr>
                <w:rFonts w:ascii="Times New Roman" w:hAnsi="Times New Roman"/>
                <w:sz w:val="14"/>
              </w:rPr>
              <w:t>Covenant penalty corresponds to Lev. 18:19 prohibition.</w:t>
            </w:r>
          </w:p>
        </w:tc>
      </w:tr>
      <w:tr>
        <w:tc>
          <w:tcPr>
            <w:tcW w:type="dxa" w:w="3561"/>
            <w:vAlign w:val="top"/>
          </w:tcPr>
          <w:p>
            <w:pPr>
              <w:spacing w:after="0"/>
            </w:pPr>
            <w:r>
              <w:rPr>
                <w:rFonts w:ascii="Times New Roman" w:hAnsi="Times New Roman"/>
                <w:sz w:val="14"/>
              </w:rPr>
              <w:t>Lev. 20:21</w:t>
            </w:r>
          </w:p>
        </w:tc>
        <w:tc>
          <w:tcPr>
            <w:tcW w:type="dxa" w:w="3561"/>
            <w:vAlign w:val="top"/>
          </w:tcPr>
          <w:p>
            <w:pPr>
              <w:spacing w:after="0"/>
            </w:pPr>
            <w:r>
              <w:rPr>
                <w:rFonts w:ascii="Times New Roman" w:hAnsi="Times New Roman"/>
                <w:sz w:val="14"/>
              </w:rPr>
              <w:t>brother’s wife</w:t>
            </w:r>
          </w:p>
        </w:tc>
        <w:tc>
          <w:tcPr>
            <w:tcW w:type="dxa" w:w="3561"/>
            <w:vAlign w:val="top"/>
          </w:tcPr>
          <w:p>
            <w:pPr>
              <w:spacing w:after="0"/>
            </w:pPr>
            <w:r>
              <w:rPr>
                <w:rFonts w:ascii="Times New Roman" w:hAnsi="Times New Roman"/>
                <w:sz w:val="14"/>
              </w:rPr>
              <w:t>General prohibition; Deut. 25:5–10 is explicit childless-widow levirate exception.</w:t>
            </w:r>
          </w:p>
        </w:tc>
      </w:tr>
      <w:tr>
        <w:tc>
          <w:tcPr>
            <w:tcW w:type="dxa" w:w="3561"/>
            <w:vAlign w:val="top"/>
          </w:tcPr>
          <w:p>
            <w:pPr>
              <w:spacing w:after="0"/>
            </w:pPr>
            <w:r>
              <w:rPr>
                <w:rFonts w:ascii="Times New Roman" w:hAnsi="Times New Roman"/>
                <w:sz w:val="14"/>
              </w:rPr>
              <w:t>Lev. 20:22</w:t>
            </w:r>
          </w:p>
        </w:tc>
        <w:tc>
          <w:tcPr>
            <w:tcW w:type="dxa" w:w="3561"/>
            <w:vAlign w:val="top"/>
          </w:tcPr>
          <w:p>
            <w:pPr>
              <w:spacing w:after="0"/>
            </w:pPr>
            <w:r>
              <w:rPr>
                <w:rFonts w:ascii="Times New Roman" w:hAnsi="Times New Roman"/>
                <w:sz w:val="14"/>
              </w:rPr>
              <w:t>land vomits</w:t>
            </w:r>
          </w:p>
        </w:tc>
        <w:tc>
          <w:tcPr>
            <w:tcW w:type="dxa" w:w="3561"/>
            <w:vAlign w:val="top"/>
          </w:tcPr>
          <w:p>
            <w:pPr>
              <w:spacing w:after="0"/>
            </w:pPr>
            <w:r>
              <w:rPr>
                <w:rFonts w:ascii="Times New Roman" w:hAnsi="Times New Roman"/>
                <w:sz w:val="14"/>
              </w:rPr>
              <w:t>Israel subject to same land judgment if disobedient.</w:t>
            </w:r>
          </w:p>
        </w:tc>
      </w:tr>
      <w:tr>
        <w:tc>
          <w:tcPr>
            <w:tcW w:type="dxa" w:w="3561"/>
            <w:vAlign w:val="top"/>
          </w:tcPr>
          <w:p>
            <w:pPr>
              <w:spacing w:after="0"/>
            </w:pPr>
            <w:r>
              <w:rPr>
                <w:rFonts w:ascii="Times New Roman" w:hAnsi="Times New Roman"/>
                <w:sz w:val="14"/>
              </w:rPr>
              <w:t>Lev. 20:25</w:t>
            </w:r>
          </w:p>
        </w:tc>
        <w:tc>
          <w:tcPr>
            <w:tcW w:type="dxa" w:w="3561"/>
            <w:vAlign w:val="top"/>
          </w:tcPr>
          <w:p>
            <w:pPr>
              <w:spacing w:after="0"/>
            </w:pPr>
            <w:r>
              <w:rPr>
                <w:rFonts w:ascii="Times New Roman" w:hAnsi="Times New Roman"/>
                <w:sz w:val="14"/>
              </w:rPr>
              <w:t>clean/unclean distinction</w:t>
            </w:r>
          </w:p>
        </w:tc>
        <w:tc>
          <w:tcPr>
            <w:tcW w:type="dxa" w:w="3561"/>
            <w:vAlign w:val="top"/>
          </w:tcPr>
          <w:p>
            <w:pPr>
              <w:spacing w:after="0"/>
            </w:pPr>
            <w:r>
              <w:rPr>
                <w:rFonts w:ascii="Times New Roman" w:hAnsi="Times New Roman"/>
                <w:sz w:val="14"/>
              </w:rPr>
              <w:t>Daily holiness discipline retained.</w:t>
            </w:r>
          </w:p>
        </w:tc>
      </w:tr>
      <w:tr>
        <w:tc>
          <w:tcPr>
            <w:tcW w:type="dxa" w:w="3561"/>
            <w:vAlign w:val="top"/>
          </w:tcPr>
          <w:p>
            <w:pPr>
              <w:spacing w:after="0"/>
            </w:pPr>
            <w:r>
              <w:rPr>
                <w:rFonts w:ascii="Times New Roman" w:hAnsi="Times New Roman"/>
                <w:sz w:val="14"/>
              </w:rPr>
              <w:t>Lev. 20:26</w:t>
            </w:r>
          </w:p>
        </w:tc>
        <w:tc>
          <w:tcPr>
            <w:tcW w:type="dxa" w:w="3561"/>
            <w:vAlign w:val="top"/>
          </w:tcPr>
          <w:p>
            <w:pPr>
              <w:spacing w:after="0"/>
            </w:pPr>
            <w:r>
              <w:rPr>
                <w:rFonts w:ascii="Times New Roman" w:hAnsi="Times New Roman"/>
                <w:sz w:val="14"/>
              </w:rPr>
              <w:t>“that ye should be mine”</w:t>
            </w:r>
          </w:p>
        </w:tc>
        <w:tc>
          <w:tcPr>
            <w:tcW w:type="dxa" w:w="3561"/>
            <w:vAlign w:val="top"/>
          </w:tcPr>
          <w:p>
            <w:pPr>
              <w:spacing w:after="0"/>
            </w:pPr>
            <w:r>
              <w:rPr>
                <w:rFonts w:ascii="Times New Roman" w:hAnsi="Times New Roman"/>
                <w:sz w:val="14"/>
              </w:rPr>
              <w:t>Separation is positive belonging to Yahweh.</w:t>
            </w:r>
          </w:p>
        </w:tc>
      </w:tr>
      <w:tr>
        <w:tc>
          <w:tcPr>
            <w:tcW w:type="dxa" w:w="3561"/>
            <w:vAlign w:val="top"/>
          </w:tcPr>
          <w:p>
            <w:pPr>
              <w:spacing w:after="0"/>
            </w:pPr>
            <w:r>
              <w:rPr>
                <w:rFonts w:ascii="Times New Roman" w:hAnsi="Times New Roman"/>
                <w:sz w:val="14"/>
              </w:rPr>
              <w:t>Lev. 20:27</w:t>
            </w:r>
          </w:p>
        </w:tc>
        <w:tc>
          <w:tcPr>
            <w:tcW w:type="dxa" w:w="3561"/>
            <w:vAlign w:val="top"/>
          </w:tcPr>
          <w:p>
            <w:pPr>
              <w:spacing w:after="0"/>
            </w:pPr>
            <w:r>
              <w:rPr>
                <w:rFonts w:ascii="Times New Roman" w:hAnsi="Times New Roman"/>
                <w:sz w:val="14"/>
              </w:rPr>
              <w:t>medium/spiritist penalty</w:t>
            </w:r>
          </w:p>
        </w:tc>
        <w:tc>
          <w:tcPr>
            <w:tcW w:type="dxa" w:w="3561"/>
            <w:vAlign w:val="top"/>
          </w:tcPr>
          <w:p>
            <w:pPr>
              <w:spacing w:after="0"/>
            </w:pPr>
            <w:r>
              <w:rPr>
                <w:rFonts w:ascii="Times New Roman" w:hAnsi="Times New Roman"/>
                <w:sz w:val="14"/>
              </w:rPr>
              <w:t>Civil enforcement counterpart to v.6.</w:t>
            </w:r>
          </w:p>
        </w:tc>
      </w:tr>
      <w:tr>
        <w:tc>
          <w:tcPr>
            <w:tcW w:type="dxa" w:w="3561"/>
            <w:vAlign w:val="top"/>
          </w:tcPr>
          <w:p>
            <w:pPr>
              <w:spacing w:after="0"/>
            </w:pPr>
            <w:r>
              <w:rPr>
                <w:rFonts w:ascii="Times New Roman" w:hAnsi="Times New Roman"/>
                <w:sz w:val="14"/>
              </w:rPr>
              <w:t>1 Cor. 6:9–11</w:t>
            </w:r>
          </w:p>
        </w:tc>
        <w:tc>
          <w:tcPr>
            <w:tcW w:type="dxa" w:w="3561"/>
            <w:vAlign w:val="top"/>
          </w:tcPr>
          <w:p>
            <w:pPr>
              <w:spacing w:after="0"/>
            </w:pPr>
            <w:r>
              <w:rPr>
                <w:rFonts w:ascii="Times New Roman" w:hAnsi="Times New Roman"/>
                <w:sz w:val="14"/>
              </w:rPr>
              <w:t>washed/justified former sinners</w:t>
            </w:r>
          </w:p>
        </w:tc>
        <w:tc>
          <w:tcPr>
            <w:tcW w:type="dxa" w:w="3561"/>
            <w:vAlign w:val="top"/>
          </w:tcPr>
          <w:p>
            <w:pPr>
              <w:spacing w:after="0"/>
            </w:pPr>
            <w:r>
              <w:rPr>
                <w:rFonts w:ascii="Times New Roman" w:hAnsi="Times New Roman"/>
                <w:sz w:val="14"/>
              </w:rPr>
              <w:t>Refutes idea that Mosaic capital offences are intrinsically unforgivable by God.</w:t>
            </w:r>
          </w:p>
        </w:tc>
      </w:tr>
    </w:tbl>
    <w:p>
      <w:pPr>
        <w:pStyle w:val="Heading1"/>
      </w:pPr>
      <w:r>
        <w:t>RESIDUAL UNCERTAINTIES</w:t>
      </w:r>
    </w:p>
    <w:p>
      <w:pPr/>
      <w:r>
        <w:rPr>
          <w:i w:val="0"/>
        </w:rPr>
        <w:t>The legal application of ancient Israel’s penalties belongs to its covenant nation and should not be transplanted into modern private action. The rare negative use of chesed in verse 17 and some penalty formulas have lexical/judicial nuances. Mansfield’s “unforgivable sins” heading is corrected to distinguish irreversible Mosaic civil punishment from God’s capacity to forgive the repentant.</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