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21</w:t>
      </w:r>
    </w:p>
    <w:p>
      <w:pPr>
        <w:pStyle w:val="Subtitle"/>
      </w:pPr>
      <w:r>
        <w:t>REGULATIONS FOR THE PRIESTS • DEATH AND MOURNING • HOLINESS IN FAMILY LIFE • THE HIGH PRIEST • MARRIAGE • PHYSICAL BLEMISH AND REPRESENTATIVE SERVICE</w:t>
      </w:r>
    </w:p>
    <w:p>
      <w:pPr/>
      <w:r>
        <w:rPr>
          <w:i/>
        </w:rPr>
        <w:t>H. P. Mansfield Bible notes — checked and arranged in verse-by-verse Expositor style</w:t>
      </w:r>
    </w:p>
    <w:p>
      <w:pPr/>
      <w:r>
        <w:rPr>
          <w:i w:val="0"/>
        </w:rPr>
        <w:t>Source: HPB03 Leviticus 21 annotated pages; cross-checked with Mansfield Expositor Chapter 21</w:t>
      </w:r>
    </w:p>
    <w:p>
      <w:pPr>
        <w:pStyle w:val="Heading1"/>
      </w:pPr>
      <w:r>
        <w:t>CHAPTER OVERVIEW</w:t>
      </w:r>
    </w:p>
    <w:p>
      <w:pPr/>
      <w:r>
        <w:rPr>
          <w:i w:val="0"/>
        </w:rPr>
        <w:t>Leviticus 21 imposes stricter ceremonial requirements on priests because they handle Yahweh’s offerings and represent holiness publicly. Greater nearness brings greater responsibility, but the chapter does not imply that priests with physical disabilities are of lesser personal worth.</w:t>
      </w:r>
    </w:p>
    <w:p>
      <w:pPr/>
      <w:r>
        <w:rPr>
          <w:i w:val="0"/>
        </w:rPr>
        <w:t>The ordinary priest may become defiled for a very narrow circle of close relatives; the high priest is more restricted still. Physical blemish limits active altar/veil service, yet verse 22 explicitly preserves the priest’s right to eat the holy food.</w:t>
      </w:r>
    </w:p>
    <w:p>
      <w:pPr>
        <w:pStyle w:val="Heading1"/>
      </w:pPr>
      <w:r>
        <w:t>ORDINARY PRIESTS AND THE DEAD — LEVITICUS 21:1–6</w:t>
      </w:r>
    </w:p>
    <w:p>
      <w:pPr>
        <w:pStyle w:val="Heading2"/>
      </w:pPr>
      <w:r>
        <w:t>Leviticus 21:1–3 — limited mourning for closest kin</w:t>
      </w:r>
    </w:p>
    <w:p>
      <w:pPr/>
      <w:r>
        <w:rPr>
          <w:i w:val="0"/>
        </w:rPr>
        <w:t>Priests are not to make themselves ceremonially unclean for the dead among the people except for specified close relatives: mother, father, son, daughter, brother, and an unmarried sister who is near to him. The law restricts priestly defilement without condemning normal human grief.</w:t>
      </w:r>
    </w:p>
    <w:p>
      <w:pPr/>
      <w:r>
        <w:rPr>
          <w:i w:val="0"/>
        </w:rPr>
        <w:t>The list does not explicitly name a wife. Mansfield follows an older interpretation that the general kin term she’er may include her, but this is not stated with certainty in the verse and should not be treated as an explicit item in the list.</w:t>
      </w:r>
    </w:p>
    <w:p>
      <w:pPr>
        <w:pStyle w:val="Heading2"/>
      </w:pPr>
      <w:r>
        <w:t>Leviticus 21:4 — a difficult clause</w:t>
      </w:r>
    </w:p>
    <w:p>
      <w:pPr/>
      <w:r>
        <w:rPr>
          <w:i w:val="0"/>
        </w:rPr>
        <w:t>The Hebrew of verse 4 is difficult: lo yittamma ba‘al be‘ammav lehechallo. KJV “being a chief man among his people” is one traditional rendering; others understand the clause in relation to a husband or master among his people. The practical force is clear enough: the priest must not profane his consecrated status through unauthorised corpse-defilement.</w:t>
      </w:r>
    </w:p>
    <w:p>
      <w:pPr/>
      <w:r>
        <w:rPr>
          <w:i w:val="0"/>
        </w:rPr>
        <w:t>Because the syntax is disputed, Mansfield’s preferred “lord/chief man” explanation is retained only as one possibility.</w:t>
      </w:r>
    </w:p>
    <w:p>
      <w:pPr>
        <w:pStyle w:val="Heading2"/>
      </w:pPr>
      <w:r>
        <w:t>Leviticus 21:5–6 — pagan mourning customs and holy service</w:t>
      </w:r>
    </w:p>
    <w:p>
      <w:pPr/>
      <w:r>
        <w:rPr>
          <w:i w:val="0"/>
        </w:rPr>
        <w:t>Priests are forbidden to make bald patches, shave the edge of the beard, or cut the flesh as mourning customs. These correspond with the broader prohibition of Leviticus 19:27–28.</w:t>
      </w:r>
    </w:p>
    <w:p>
      <w:pPr/>
      <w:r>
        <w:rPr>
          <w:i w:val="0"/>
        </w:rPr>
        <w:t>They are to be qadoshim, holy ones, because they present “the bread/food of their God.” The altar-food language is sacrificial idiom, not a suggestion that God requires nourishment.</w:t>
      </w:r>
    </w:p>
    <w:p>
      <w:pPr>
        <w:pStyle w:val="Heading1"/>
      </w:pPr>
      <w:r>
        <w:t>MARRIAGE AND THE PRIESTLY HOUSE — LEVITICUS 21:7–9</w:t>
      </w:r>
    </w:p>
    <w:p>
      <w:pPr>
        <w:pStyle w:val="Heading2"/>
      </w:pPr>
      <w:r>
        <w:t>Leviticus 21:7 — marriage restrictions for an ordinary priest</w:t>
      </w:r>
    </w:p>
    <w:p>
      <w:pPr/>
      <w:r>
        <w:rPr>
          <w:i w:val="0"/>
        </w:rPr>
        <w:t>A priest may not marry a zonah, a prostitute, a chalalah, a woman profaned/disqualified in this priestly context, or a divorced woman. Marriage is connected with the public integrity of priestly office.</w:t>
      </w:r>
    </w:p>
    <w:p>
      <w:pPr/>
      <w:r>
        <w:rPr>
          <w:i w:val="0"/>
        </w:rPr>
        <w:t>The text is an Israelite priesthood regulation. It should not be expanded into a universal claim that every divorced person is morally polluted.</w:t>
      </w:r>
    </w:p>
    <w:p>
      <w:pPr>
        <w:pStyle w:val="Heading2"/>
      </w:pPr>
      <w:r>
        <w:t>Leviticus 21:8 — “I Yahweh … am holy”</w:t>
      </w:r>
    </w:p>
    <w:p>
      <w:pPr/>
      <w:r>
        <w:rPr>
          <w:i w:val="0"/>
        </w:rPr>
        <w:t>Israel is told to sanctify the priest because he offers the food of God. His holiness is derivative and representative: Yahweh, who sanctifies Israel, is holy.</w:t>
      </w:r>
    </w:p>
    <w:p>
      <w:pPr>
        <w:pStyle w:val="Heading2"/>
      </w:pPr>
      <w:r>
        <w:t>Leviticus 21:9 — a priest’s daughter</w:t>
      </w:r>
    </w:p>
    <w:p>
      <w:pPr/>
      <w:r>
        <w:rPr>
          <w:i w:val="0"/>
        </w:rPr>
        <w:t>A priest’s daughter who profanes herself through prostitution brings disgrace upon her father’s public priestly standing and receives the severe Mosaic covenant penalty stated in the verse.</w:t>
      </w:r>
    </w:p>
    <w:p>
      <w:pPr/>
      <w:r>
        <w:rPr>
          <w:i w:val="0"/>
        </w:rPr>
        <w:t>This is a national judicial provision under Israel’s Law, not authority for private punishment.</w:t>
      </w:r>
    </w:p>
    <w:p>
      <w:pPr>
        <w:pStyle w:val="Heading1"/>
      </w:pPr>
      <w:r>
        <w:t>THE HIGH PRIEST — LEVITICUS 21:10–15</w:t>
      </w:r>
    </w:p>
    <w:p>
      <w:pPr>
        <w:pStyle w:val="Heading2"/>
      </w:pPr>
      <w:r>
        <w:t>Leviticus 21:10–12 — a still higher standard</w:t>
      </w:r>
    </w:p>
    <w:p>
      <w:pPr/>
      <w:r>
        <w:rPr>
          <w:i w:val="0"/>
        </w:rPr>
        <w:t>The high priest, whose head has received the anointing oil and who wears the consecrated garments, must not para‘ his hair/head or tear his garments in mourning. As in Leviticus 10:6, para‘ is better understood as letting the hair become loose/dishevelled rather than simply “uncovering” the head.</w:t>
      </w:r>
    </w:p>
    <w:p>
      <w:pPr/>
      <w:r>
        <w:rPr>
          <w:i w:val="0"/>
        </w:rPr>
        <w:t>He may not defile himself even for father or mother and must not abandon/profane sanctuary service because the nezer, consecration/crown of the anointing oil, is upon him.</w:t>
      </w:r>
    </w:p>
    <w:p>
      <w:pPr>
        <w:pStyle w:val="Heading2"/>
      </w:pPr>
      <w:r>
        <w:t>Leviticus 21:13–15 — high-priestly marriage</w:t>
      </w:r>
    </w:p>
    <w:p>
      <w:pPr/>
      <w:r>
        <w:rPr>
          <w:i w:val="0"/>
        </w:rPr>
        <w:t>The high priest must take a virgin as wife from his own people/kin, and not a widow, divorced woman, profaned woman or prostitute. The requirement preserves the representative completeness of the high-priestly household.</w:t>
      </w:r>
    </w:p>
    <w:p>
      <w:pPr/>
      <w:r>
        <w:rPr>
          <w:i w:val="0"/>
        </w:rPr>
        <w:t>Mansfield’s application to Christ and the ecclesia is typological. Hebrews identifies Christ as the greater High Priest, but the marriage rule itself belongs to Aaron’s office.</w:t>
      </w:r>
    </w:p>
    <w:p>
      <w:pPr>
        <w:pStyle w:val="Heading1"/>
      </w:pPr>
      <w:r>
        <w:t>PHYSICAL BLEMISH AND PRIESTLY SERVICE — LEVITICUS 21:16–24</w:t>
      </w:r>
    </w:p>
    <w:p>
      <w:pPr>
        <w:pStyle w:val="Heading2"/>
      </w:pPr>
      <w:r>
        <w:t>Leviticus 21:16–21 — blemish restricts representative ministration</w:t>
      </w:r>
    </w:p>
    <w:p>
      <w:pPr/>
      <w:r>
        <w:rPr>
          <w:i w:val="0"/>
        </w:rPr>
        <w:t>A male descendant of Aaron with a mum, physical blemish, must not draw near to offer the bread/food of God. The list includes blindness, lameness and a series of bodily conditions, several of whose exact Hebrew anatomical/medical meanings are uncertain.</w:t>
      </w:r>
    </w:p>
    <w:p>
      <w:pPr/>
      <w:r>
        <w:rPr>
          <w:i w:val="0"/>
        </w:rPr>
        <w:t>The point is ritual representation of wholeness at the altar, not a judgment on intelligence, character, covenant membership or human worth.</w:t>
      </w:r>
    </w:p>
    <w:p>
      <w:pPr>
        <w:pStyle w:val="Heading2"/>
      </w:pPr>
      <w:r>
        <w:t>Leviticus 21:22–23 — holy food remains his</w:t>
      </w:r>
    </w:p>
    <w:p>
      <w:pPr/>
      <w:r>
        <w:rPr>
          <w:i w:val="0"/>
        </w:rPr>
        <w:t>The priest with a blemish may eat both most holy and holy priestly food. He is therefore not expelled from the priestly household or denied fellowship in its provision.</w:t>
      </w:r>
    </w:p>
    <w:p>
      <w:pPr/>
      <w:r>
        <w:rPr>
          <w:i w:val="0"/>
        </w:rPr>
        <w:t>His restriction concerns entering within the veil/approaching the altar for representative service, “that he profane not my sanctuaries.” This distinction is essential and corrects any reading that treats disability itself as moral uncleanness.</w:t>
      </w:r>
    </w:p>
    <w:p>
      <w:pPr>
        <w:pStyle w:val="Heading2"/>
      </w:pPr>
      <w:r>
        <w:t>Leviticus 21:24 — standards made public</w:t>
      </w:r>
    </w:p>
    <w:p>
      <w:pPr/>
      <w:r>
        <w:rPr>
          <w:i w:val="0"/>
        </w:rPr>
        <w:t>Moses communicates the law to Aaron, his sons and all Israel. The standards expected of priestly representatives are public covenant knowledge.</w:t>
      </w:r>
    </w:p>
    <w:p>
      <w:pPr>
        <w:pStyle w:val="Heading1"/>
      </w:pPr>
      <w:r>
        <w:t>THE GREATER HIGH PRIEST</w:t>
      </w:r>
    </w:p>
    <w:p>
      <w:pPr>
        <w:pStyle w:val="Heading2"/>
      </w:pPr>
      <w:r>
        <w:t>Christ without moral blemish</w:t>
      </w:r>
    </w:p>
    <w:p>
      <w:pPr/>
      <w:r>
        <w:rPr>
          <w:i w:val="0"/>
        </w:rPr>
        <w:t>Hebrews 7:26 describes Christ as holy, harmless, undefiled and separate from sinners. The unblemished representative ideal therefore finds a legitimate broad fulfilment in him, while Leviticus 21’s physical conditions should not be allegorised into accusations against disabled people.</w:t>
      </w:r>
    </w:p>
    <w:p>
      <w:pPr>
        <w:pStyle w:val="Heading1"/>
      </w:pPr>
      <w:r>
        <w:t>PRINCIPAL THEMES</w:t>
      </w:r>
    </w:p>
    <w:p>
      <w:pPr>
        <w:ind w:left="259" w:hanging="202"/>
      </w:pPr>
      <w:r>
        <w:rPr>
          <w:b/>
        </w:rPr>
        <w:t xml:space="preserve">• </w:t>
      </w:r>
      <w:r>
        <w:t>Priestly nearness to holy things brings stricter representative responsibility.</w:t>
      </w:r>
    </w:p>
    <w:p>
      <w:pPr>
        <w:ind w:left="259" w:hanging="202"/>
      </w:pPr>
      <w:r>
        <w:rPr>
          <w:b/>
        </w:rPr>
        <w:t xml:space="preserve">• </w:t>
      </w:r>
      <w:r>
        <w:t>Ordinary priests may mourn/defile themselves only for a narrowly defined circle of close relatives.</w:t>
      </w:r>
    </w:p>
    <w:p>
      <w:pPr>
        <w:ind w:left="259" w:hanging="202"/>
      </w:pPr>
      <w:r>
        <w:rPr>
          <w:b/>
        </w:rPr>
        <w:t xml:space="preserve">• </w:t>
      </w:r>
      <w:r>
        <w:t>The wording of verse 4 is genuinely difficult and should not be forced into one confident translation.</w:t>
      </w:r>
    </w:p>
    <w:p>
      <w:pPr>
        <w:ind w:left="259" w:hanging="202"/>
      </w:pPr>
      <w:r>
        <w:rPr>
          <w:b/>
        </w:rPr>
        <w:t xml:space="preserve">• </w:t>
      </w:r>
      <w:r>
        <w:t>Priestly marriage and household conduct affect the honour of public service.</w:t>
      </w:r>
    </w:p>
    <w:p>
      <w:pPr>
        <w:ind w:left="259" w:hanging="202"/>
      </w:pPr>
      <w:r>
        <w:rPr>
          <w:b/>
        </w:rPr>
        <w:t xml:space="preserve">• </w:t>
      </w:r>
      <w:r>
        <w:t>The high priest is held to stricter mourning and marriage requirements.</w:t>
      </w:r>
    </w:p>
    <w:p>
      <w:pPr>
        <w:ind w:left="259" w:hanging="202"/>
      </w:pPr>
      <w:r>
        <w:rPr>
          <w:b/>
        </w:rPr>
        <w:t xml:space="preserve">• </w:t>
      </w:r>
      <w:r>
        <w:t>Physical blemish limits representative altar/veil service, not personal worth or access to holy food.</w:t>
      </w:r>
    </w:p>
    <w:p>
      <w:pPr>
        <w:ind w:left="259" w:hanging="202"/>
      </w:pPr>
      <w:r>
        <w:rPr>
          <w:b/>
        </w:rPr>
        <w:t xml:space="preserve">• </w:t>
      </w:r>
      <w:r>
        <w:t>The perfect-priest application belongs ultimately to Christ, whose moral perfection is explicit in Hebrews.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21:1–3</w:t>
            </w:r>
          </w:p>
        </w:tc>
        <w:tc>
          <w:tcPr>
            <w:tcW w:type="dxa" w:w="3561"/>
            <w:vAlign w:val="top"/>
          </w:tcPr>
          <w:p>
            <w:pPr>
              <w:spacing w:after="0"/>
            </w:pPr>
            <w:r>
              <w:rPr>
                <w:rFonts w:ascii="Times New Roman" w:hAnsi="Times New Roman"/>
                <w:sz w:val="14"/>
              </w:rPr>
              <w:t>closest-relative corpse defilement</w:t>
            </w:r>
          </w:p>
        </w:tc>
        <w:tc>
          <w:tcPr>
            <w:tcW w:type="dxa" w:w="3561"/>
            <w:vAlign w:val="top"/>
          </w:tcPr>
          <w:p>
            <w:pPr>
              <w:spacing w:after="0"/>
            </w:pPr>
            <w:r>
              <w:rPr>
                <w:rFonts w:ascii="Times New Roman" w:hAnsi="Times New Roman"/>
                <w:sz w:val="14"/>
              </w:rPr>
              <w:t>Specified list includes parents, children, brother and unmarried sister.</w:t>
            </w:r>
          </w:p>
        </w:tc>
      </w:tr>
      <w:tr>
        <w:tc>
          <w:tcPr>
            <w:tcW w:type="dxa" w:w="3561"/>
            <w:vAlign w:val="top"/>
          </w:tcPr>
          <w:p>
            <w:pPr>
              <w:spacing w:after="0"/>
            </w:pPr>
            <w:r>
              <w:rPr>
                <w:rFonts w:ascii="Times New Roman" w:hAnsi="Times New Roman"/>
                <w:sz w:val="14"/>
              </w:rPr>
              <w:t>Lev. 21:2</w:t>
            </w:r>
          </w:p>
        </w:tc>
        <w:tc>
          <w:tcPr>
            <w:tcW w:type="dxa" w:w="3561"/>
            <w:vAlign w:val="top"/>
          </w:tcPr>
          <w:p>
            <w:pPr>
              <w:spacing w:after="0"/>
            </w:pPr>
            <w:r>
              <w:rPr>
                <w:rFonts w:ascii="Times New Roman" w:hAnsi="Times New Roman"/>
                <w:sz w:val="14"/>
              </w:rPr>
              <w:t>she’er</w:t>
            </w:r>
          </w:p>
        </w:tc>
        <w:tc>
          <w:tcPr>
            <w:tcW w:type="dxa" w:w="3561"/>
            <w:vAlign w:val="top"/>
          </w:tcPr>
          <w:p>
            <w:pPr>
              <w:spacing w:after="0"/>
            </w:pPr>
            <w:r>
              <w:rPr>
                <w:rFonts w:ascii="Times New Roman" w:hAnsi="Times New Roman"/>
                <w:sz w:val="14"/>
              </w:rPr>
              <w:t>Close flesh/kin; wife inclusion is interpretive, not explicit in list.</w:t>
            </w:r>
          </w:p>
        </w:tc>
      </w:tr>
      <w:tr>
        <w:tc>
          <w:tcPr>
            <w:tcW w:type="dxa" w:w="3561"/>
            <w:vAlign w:val="top"/>
          </w:tcPr>
          <w:p>
            <w:pPr>
              <w:spacing w:after="0"/>
            </w:pPr>
            <w:r>
              <w:rPr>
                <w:rFonts w:ascii="Times New Roman" w:hAnsi="Times New Roman"/>
                <w:sz w:val="14"/>
              </w:rPr>
              <w:t>Lev. 21:4</w:t>
            </w:r>
          </w:p>
        </w:tc>
        <w:tc>
          <w:tcPr>
            <w:tcW w:type="dxa" w:w="3561"/>
            <w:vAlign w:val="top"/>
          </w:tcPr>
          <w:p>
            <w:pPr>
              <w:spacing w:after="0"/>
            </w:pPr>
            <w:r>
              <w:rPr>
                <w:rFonts w:ascii="Times New Roman" w:hAnsi="Times New Roman"/>
                <w:sz w:val="14"/>
              </w:rPr>
              <w:t>ba‘al be‘ammav</w:t>
            </w:r>
          </w:p>
        </w:tc>
        <w:tc>
          <w:tcPr>
            <w:tcW w:type="dxa" w:w="3561"/>
            <w:vAlign w:val="top"/>
          </w:tcPr>
          <w:p>
            <w:pPr>
              <w:spacing w:after="0"/>
            </w:pPr>
            <w:r>
              <w:rPr>
                <w:rFonts w:ascii="Times New Roman" w:hAnsi="Times New Roman"/>
                <w:sz w:val="14"/>
              </w:rPr>
              <w:t>Difficult syntax; KJV “chief man” is one traditional reading.</w:t>
            </w:r>
          </w:p>
        </w:tc>
      </w:tr>
      <w:tr>
        <w:tc>
          <w:tcPr>
            <w:tcW w:type="dxa" w:w="3561"/>
            <w:vAlign w:val="top"/>
          </w:tcPr>
          <w:p>
            <w:pPr>
              <w:spacing w:after="0"/>
            </w:pPr>
            <w:r>
              <w:rPr>
                <w:rFonts w:ascii="Times New Roman" w:hAnsi="Times New Roman"/>
                <w:sz w:val="14"/>
              </w:rPr>
              <w:t>Lev. 21:5</w:t>
            </w:r>
          </w:p>
        </w:tc>
        <w:tc>
          <w:tcPr>
            <w:tcW w:type="dxa" w:w="3561"/>
            <w:vAlign w:val="top"/>
          </w:tcPr>
          <w:p>
            <w:pPr>
              <w:spacing w:after="0"/>
            </w:pPr>
            <w:r>
              <w:rPr>
                <w:rFonts w:ascii="Times New Roman" w:hAnsi="Times New Roman"/>
                <w:sz w:val="14"/>
              </w:rPr>
              <w:t>baldness/beard/cuttings</w:t>
            </w:r>
          </w:p>
        </w:tc>
        <w:tc>
          <w:tcPr>
            <w:tcW w:type="dxa" w:w="3561"/>
            <w:vAlign w:val="top"/>
          </w:tcPr>
          <w:p>
            <w:pPr>
              <w:spacing w:after="0"/>
            </w:pPr>
            <w:r>
              <w:rPr>
                <w:rFonts w:ascii="Times New Roman" w:hAnsi="Times New Roman"/>
                <w:sz w:val="14"/>
              </w:rPr>
              <w:t>Parallel to Lev. 19:27–28 mourning/cultic restrictions.</w:t>
            </w:r>
          </w:p>
        </w:tc>
      </w:tr>
      <w:tr>
        <w:tc>
          <w:tcPr>
            <w:tcW w:type="dxa" w:w="3561"/>
            <w:vAlign w:val="top"/>
          </w:tcPr>
          <w:p>
            <w:pPr>
              <w:spacing w:after="0"/>
            </w:pPr>
            <w:r>
              <w:rPr>
                <w:rFonts w:ascii="Times New Roman" w:hAnsi="Times New Roman"/>
                <w:sz w:val="14"/>
              </w:rPr>
              <w:t>Lev. 21:6</w:t>
            </w:r>
          </w:p>
        </w:tc>
        <w:tc>
          <w:tcPr>
            <w:tcW w:type="dxa" w:w="3561"/>
            <w:vAlign w:val="top"/>
          </w:tcPr>
          <w:p>
            <w:pPr>
              <w:spacing w:after="0"/>
            </w:pPr>
            <w:r>
              <w:rPr>
                <w:rFonts w:ascii="Times New Roman" w:hAnsi="Times New Roman"/>
                <w:sz w:val="14"/>
              </w:rPr>
              <w:t>qadoshim</w:t>
            </w:r>
          </w:p>
        </w:tc>
        <w:tc>
          <w:tcPr>
            <w:tcW w:type="dxa" w:w="3561"/>
            <w:vAlign w:val="top"/>
          </w:tcPr>
          <w:p>
            <w:pPr>
              <w:spacing w:after="0"/>
            </w:pPr>
            <w:r>
              <w:rPr>
                <w:rFonts w:ascii="Times New Roman" w:hAnsi="Times New Roman"/>
                <w:sz w:val="14"/>
              </w:rPr>
              <w:t>Holy ones; priests represent Yahweh’s holiness.</w:t>
            </w:r>
          </w:p>
        </w:tc>
      </w:tr>
      <w:tr>
        <w:tc>
          <w:tcPr>
            <w:tcW w:type="dxa" w:w="3561"/>
            <w:vAlign w:val="top"/>
          </w:tcPr>
          <w:p>
            <w:pPr>
              <w:spacing w:after="0"/>
            </w:pPr>
            <w:r>
              <w:rPr>
                <w:rFonts w:ascii="Times New Roman" w:hAnsi="Times New Roman"/>
                <w:sz w:val="14"/>
              </w:rPr>
              <w:t>Lev. 21:6</w:t>
            </w:r>
          </w:p>
        </w:tc>
        <w:tc>
          <w:tcPr>
            <w:tcW w:type="dxa" w:w="3561"/>
            <w:vAlign w:val="top"/>
          </w:tcPr>
          <w:p>
            <w:pPr>
              <w:spacing w:after="0"/>
            </w:pPr>
            <w:r>
              <w:rPr>
                <w:rFonts w:ascii="Times New Roman" w:hAnsi="Times New Roman"/>
                <w:sz w:val="14"/>
              </w:rPr>
              <w:t>bread of God</w:t>
            </w:r>
          </w:p>
        </w:tc>
        <w:tc>
          <w:tcPr>
            <w:tcW w:type="dxa" w:w="3561"/>
            <w:vAlign w:val="top"/>
          </w:tcPr>
          <w:p>
            <w:pPr>
              <w:spacing w:after="0"/>
            </w:pPr>
            <w:r>
              <w:rPr>
                <w:rFonts w:ascii="Times New Roman" w:hAnsi="Times New Roman"/>
                <w:sz w:val="14"/>
              </w:rPr>
              <w:t>Sacrificial food/altar idiom, not Divine nutritional need.</w:t>
            </w:r>
          </w:p>
        </w:tc>
      </w:tr>
      <w:tr>
        <w:tc>
          <w:tcPr>
            <w:tcW w:type="dxa" w:w="3561"/>
            <w:vAlign w:val="top"/>
          </w:tcPr>
          <w:p>
            <w:pPr>
              <w:spacing w:after="0"/>
            </w:pPr>
            <w:r>
              <w:rPr>
                <w:rFonts w:ascii="Times New Roman" w:hAnsi="Times New Roman"/>
                <w:sz w:val="14"/>
              </w:rPr>
              <w:t>Lev. 21:7</w:t>
            </w:r>
          </w:p>
        </w:tc>
        <w:tc>
          <w:tcPr>
            <w:tcW w:type="dxa" w:w="3561"/>
            <w:vAlign w:val="top"/>
          </w:tcPr>
          <w:p>
            <w:pPr>
              <w:spacing w:after="0"/>
            </w:pPr>
            <w:r>
              <w:rPr>
                <w:rFonts w:ascii="Times New Roman" w:hAnsi="Times New Roman"/>
                <w:sz w:val="14"/>
              </w:rPr>
              <w:t>zonah / chalalah</w:t>
            </w:r>
          </w:p>
        </w:tc>
        <w:tc>
          <w:tcPr>
            <w:tcW w:type="dxa" w:w="3561"/>
            <w:vAlign w:val="top"/>
          </w:tcPr>
          <w:p>
            <w:pPr>
              <w:spacing w:after="0"/>
            </w:pPr>
            <w:r>
              <w:rPr>
                <w:rFonts w:ascii="Times New Roman" w:hAnsi="Times New Roman"/>
                <w:sz w:val="14"/>
              </w:rPr>
              <w:t>Prostitute / profaned-disqualified woman in priestly marriage law.</w:t>
            </w:r>
          </w:p>
        </w:tc>
      </w:tr>
      <w:tr>
        <w:tc>
          <w:tcPr>
            <w:tcW w:type="dxa" w:w="3561"/>
            <w:vAlign w:val="top"/>
          </w:tcPr>
          <w:p>
            <w:pPr>
              <w:spacing w:after="0"/>
            </w:pPr>
            <w:r>
              <w:rPr>
                <w:rFonts w:ascii="Times New Roman" w:hAnsi="Times New Roman"/>
                <w:sz w:val="14"/>
              </w:rPr>
              <w:t>Lev. 21:10</w:t>
            </w:r>
          </w:p>
        </w:tc>
        <w:tc>
          <w:tcPr>
            <w:tcW w:type="dxa" w:w="3561"/>
            <w:vAlign w:val="top"/>
          </w:tcPr>
          <w:p>
            <w:pPr>
              <w:spacing w:after="0"/>
            </w:pPr>
            <w:r>
              <w:rPr>
                <w:rFonts w:ascii="Times New Roman" w:hAnsi="Times New Roman"/>
                <w:sz w:val="14"/>
              </w:rPr>
              <w:t>para‘</w:t>
            </w:r>
          </w:p>
        </w:tc>
        <w:tc>
          <w:tcPr>
            <w:tcW w:type="dxa" w:w="3561"/>
            <w:vAlign w:val="top"/>
          </w:tcPr>
          <w:p>
            <w:pPr>
              <w:spacing w:after="0"/>
            </w:pPr>
            <w:r>
              <w:rPr>
                <w:rFonts w:ascii="Times New Roman" w:hAnsi="Times New Roman"/>
                <w:sz w:val="14"/>
              </w:rPr>
              <w:t>Let hair become loose/dishevelled; KJV “uncover” can mislead.</w:t>
            </w:r>
          </w:p>
        </w:tc>
      </w:tr>
      <w:tr>
        <w:tc>
          <w:tcPr>
            <w:tcW w:type="dxa" w:w="3561"/>
            <w:vAlign w:val="top"/>
          </w:tcPr>
          <w:p>
            <w:pPr>
              <w:spacing w:after="0"/>
            </w:pPr>
            <w:r>
              <w:rPr>
                <w:rFonts w:ascii="Times New Roman" w:hAnsi="Times New Roman"/>
                <w:sz w:val="14"/>
              </w:rPr>
              <w:t>Lev. 21:12</w:t>
            </w:r>
          </w:p>
        </w:tc>
        <w:tc>
          <w:tcPr>
            <w:tcW w:type="dxa" w:w="3561"/>
            <w:vAlign w:val="top"/>
          </w:tcPr>
          <w:p>
            <w:pPr>
              <w:spacing w:after="0"/>
            </w:pPr>
            <w:r>
              <w:rPr>
                <w:rFonts w:ascii="Times New Roman" w:hAnsi="Times New Roman"/>
                <w:sz w:val="14"/>
              </w:rPr>
              <w:t>nezer</w:t>
            </w:r>
          </w:p>
        </w:tc>
        <w:tc>
          <w:tcPr>
            <w:tcW w:type="dxa" w:w="3561"/>
            <w:vAlign w:val="top"/>
          </w:tcPr>
          <w:p>
            <w:pPr>
              <w:spacing w:after="0"/>
            </w:pPr>
            <w:r>
              <w:rPr>
                <w:rFonts w:ascii="Times New Roman" w:hAnsi="Times New Roman"/>
                <w:sz w:val="14"/>
              </w:rPr>
              <w:t>Consecration/crown of anointing oil.</w:t>
            </w:r>
          </w:p>
        </w:tc>
      </w:tr>
      <w:tr>
        <w:tc>
          <w:tcPr>
            <w:tcW w:type="dxa" w:w="3561"/>
            <w:vAlign w:val="top"/>
          </w:tcPr>
          <w:p>
            <w:pPr>
              <w:spacing w:after="0"/>
            </w:pPr>
            <w:r>
              <w:rPr>
                <w:rFonts w:ascii="Times New Roman" w:hAnsi="Times New Roman"/>
                <w:sz w:val="14"/>
              </w:rPr>
              <w:t>Lev. 21:13–14</w:t>
            </w:r>
          </w:p>
        </w:tc>
        <w:tc>
          <w:tcPr>
            <w:tcW w:type="dxa" w:w="3561"/>
            <w:vAlign w:val="top"/>
          </w:tcPr>
          <w:p>
            <w:pPr>
              <w:spacing w:after="0"/>
            </w:pPr>
            <w:r>
              <w:rPr>
                <w:rFonts w:ascii="Times New Roman" w:hAnsi="Times New Roman"/>
                <w:sz w:val="14"/>
              </w:rPr>
              <w:t>high-priest wife</w:t>
            </w:r>
          </w:p>
        </w:tc>
        <w:tc>
          <w:tcPr>
            <w:tcW w:type="dxa" w:w="3561"/>
            <w:vAlign w:val="top"/>
          </w:tcPr>
          <w:p>
            <w:pPr>
              <w:spacing w:after="0"/>
            </w:pPr>
            <w:r>
              <w:rPr>
                <w:rFonts w:ascii="Times New Roman" w:hAnsi="Times New Roman"/>
                <w:sz w:val="14"/>
              </w:rPr>
              <w:t>Virgin from his own people; widowed/divorced/prostitute/profaned excluded.</w:t>
            </w:r>
          </w:p>
        </w:tc>
      </w:tr>
      <w:tr>
        <w:tc>
          <w:tcPr>
            <w:tcW w:type="dxa" w:w="3561"/>
            <w:vAlign w:val="top"/>
          </w:tcPr>
          <w:p>
            <w:pPr>
              <w:spacing w:after="0"/>
            </w:pPr>
            <w:r>
              <w:rPr>
                <w:rFonts w:ascii="Times New Roman" w:hAnsi="Times New Roman"/>
                <w:sz w:val="14"/>
              </w:rPr>
              <w:t>Lev. 21:17</w:t>
            </w:r>
          </w:p>
        </w:tc>
        <w:tc>
          <w:tcPr>
            <w:tcW w:type="dxa" w:w="3561"/>
            <w:vAlign w:val="top"/>
          </w:tcPr>
          <w:p>
            <w:pPr>
              <w:spacing w:after="0"/>
            </w:pPr>
            <w:r>
              <w:rPr>
                <w:rFonts w:ascii="Times New Roman" w:hAnsi="Times New Roman"/>
                <w:sz w:val="14"/>
              </w:rPr>
              <w:t>mum</w:t>
            </w:r>
          </w:p>
        </w:tc>
        <w:tc>
          <w:tcPr>
            <w:tcW w:type="dxa" w:w="3561"/>
            <w:vAlign w:val="top"/>
          </w:tcPr>
          <w:p>
            <w:pPr>
              <w:spacing w:after="0"/>
            </w:pPr>
            <w:r>
              <w:rPr>
                <w:rFonts w:ascii="Times New Roman" w:hAnsi="Times New Roman"/>
                <w:sz w:val="14"/>
              </w:rPr>
              <w:t>Physical blemish/defect in representative ritual sense.</w:t>
            </w:r>
          </w:p>
        </w:tc>
      </w:tr>
      <w:tr>
        <w:tc>
          <w:tcPr>
            <w:tcW w:type="dxa" w:w="3561"/>
            <w:vAlign w:val="top"/>
          </w:tcPr>
          <w:p>
            <w:pPr>
              <w:spacing w:after="0"/>
            </w:pPr>
            <w:r>
              <w:rPr>
                <w:rFonts w:ascii="Times New Roman" w:hAnsi="Times New Roman"/>
                <w:sz w:val="14"/>
              </w:rPr>
              <w:t>Lev. 21:18–20</w:t>
            </w:r>
          </w:p>
        </w:tc>
        <w:tc>
          <w:tcPr>
            <w:tcW w:type="dxa" w:w="3561"/>
            <w:vAlign w:val="top"/>
          </w:tcPr>
          <w:p>
            <w:pPr>
              <w:spacing w:after="0"/>
            </w:pPr>
            <w:r>
              <w:rPr>
                <w:rFonts w:ascii="Times New Roman" w:hAnsi="Times New Roman"/>
                <w:sz w:val="14"/>
              </w:rPr>
              <w:t>blemish list</w:t>
            </w:r>
          </w:p>
        </w:tc>
        <w:tc>
          <w:tcPr>
            <w:tcW w:type="dxa" w:w="3561"/>
            <w:vAlign w:val="top"/>
          </w:tcPr>
          <w:p>
            <w:pPr>
              <w:spacing w:after="0"/>
            </w:pPr>
            <w:r>
              <w:rPr>
                <w:rFonts w:ascii="Times New Roman" w:hAnsi="Times New Roman"/>
                <w:sz w:val="14"/>
              </w:rPr>
              <w:t>Several exact anatomical terms uncertain; avoid overconfident modern diagnosis.</w:t>
            </w:r>
          </w:p>
        </w:tc>
      </w:tr>
      <w:tr>
        <w:tc>
          <w:tcPr>
            <w:tcW w:type="dxa" w:w="3561"/>
            <w:vAlign w:val="top"/>
          </w:tcPr>
          <w:p>
            <w:pPr>
              <w:spacing w:after="0"/>
            </w:pPr>
            <w:r>
              <w:rPr>
                <w:rFonts w:ascii="Times New Roman" w:hAnsi="Times New Roman"/>
                <w:sz w:val="14"/>
              </w:rPr>
              <w:t>Lev. 21:22</w:t>
            </w:r>
          </w:p>
        </w:tc>
        <w:tc>
          <w:tcPr>
            <w:tcW w:type="dxa" w:w="3561"/>
            <w:vAlign w:val="top"/>
          </w:tcPr>
          <w:p>
            <w:pPr>
              <w:spacing w:after="0"/>
            </w:pPr>
            <w:r>
              <w:rPr>
                <w:rFonts w:ascii="Times New Roman" w:hAnsi="Times New Roman"/>
                <w:sz w:val="14"/>
              </w:rPr>
              <w:t>may eat holy food</w:t>
            </w:r>
          </w:p>
        </w:tc>
        <w:tc>
          <w:tcPr>
            <w:tcW w:type="dxa" w:w="3561"/>
            <w:vAlign w:val="top"/>
          </w:tcPr>
          <w:p>
            <w:pPr>
              <w:spacing w:after="0"/>
            </w:pPr>
            <w:r>
              <w:rPr>
                <w:rFonts w:ascii="Times New Roman" w:hAnsi="Times New Roman"/>
                <w:sz w:val="14"/>
              </w:rPr>
              <w:t>Explicitly preserves priestly food privilege.</w:t>
            </w:r>
          </w:p>
        </w:tc>
      </w:tr>
      <w:tr>
        <w:tc>
          <w:tcPr>
            <w:tcW w:type="dxa" w:w="3561"/>
            <w:vAlign w:val="top"/>
          </w:tcPr>
          <w:p>
            <w:pPr>
              <w:spacing w:after="0"/>
            </w:pPr>
            <w:r>
              <w:rPr>
                <w:rFonts w:ascii="Times New Roman" w:hAnsi="Times New Roman"/>
                <w:sz w:val="14"/>
              </w:rPr>
              <w:t>Lev. 21:23</w:t>
            </w:r>
          </w:p>
        </w:tc>
        <w:tc>
          <w:tcPr>
            <w:tcW w:type="dxa" w:w="3561"/>
            <w:vAlign w:val="top"/>
          </w:tcPr>
          <w:p>
            <w:pPr>
              <w:spacing w:after="0"/>
            </w:pPr>
            <w:r>
              <w:rPr>
                <w:rFonts w:ascii="Times New Roman" w:hAnsi="Times New Roman"/>
                <w:sz w:val="14"/>
              </w:rPr>
              <w:t>altar/veil restriction</w:t>
            </w:r>
          </w:p>
        </w:tc>
        <w:tc>
          <w:tcPr>
            <w:tcW w:type="dxa" w:w="3561"/>
            <w:vAlign w:val="top"/>
          </w:tcPr>
          <w:p>
            <w:pPr>
              <w:spacing w:after="0"/>
            </w:pPr>
            <w:r>
              <w:rPr>
                <w:rFonts w:ascii="Times New Roman" w:hAnsi="Times New Roman"/>
                <w:sz w:val="14"/>
              </w:rPr>
              <w:t>Service restriction is representative, not personal rejection.</w:t>
            </w:r>
          </w:p>
        </w:tc>
      </w:tr>
      <w:tr>
        <w:tc>
          <w:tcPr>
            <w:tcW w:type="dxa" w:w="3561"/>
            <w:vAlign w:val="top"/>
          </w:tcPr>
          <w:p>
            <w:pPr>
              <w:spacing w:after="0"/>
            </w:pPr>
            <w:r>
              <w:rPr>
                <w:rFonts w:ascii="Times New Roman" w:hAnsi="Times New Roman"/>
                <w:sz w:val="14"/>
              </w:rPr>
              <w:t>Heb. 7:26</w:t>
            </w:r>
          </w:p>
        </w:tc>
        <w:tc>
          <w:tcPr>
            <w:tcW w:type="dxa" w:w="3561"/>
            <w:vAlign w:val="top"/>
          </w:tcPr>
          <w:p>
            <w:pPr>
              <w:spacing w:after="0"/>
            </w:pPr>
            <w:r>
              <w:rPr>
                <w:rFonts w:ascii="Times New Roman" w:hAnsi="Times New Roman"/>
                <w:sz w:val="14"/>
              </w:rPr>
              <w:t>Christological fulfilment</w:t>
            </w:r>
          </w:p>
        </w:tc>
        <w:tc>
          <w:tcPr>
            <w:tcW w:type="dxa" w:w="3561"/>
            <w:vAlign w:val="top"/>
          </w:tcPr>
          <w:p>
            <w:pPr>
              <w:spacing w:after="0"/>
            </w:pPr>
            <w:r>
              <w:rPr>
                <w:rFonts w:ascii="Times New Roman" w:hAnsi="Times New Roman"/>
                <w:sz w:val="14"/>
              </w:rPr>
              <w:t>Christ’s moral holiness/perfection gives controlling NT application.</w:t>
            </w:r>
          </w:p>
        </w:tc>
      </w:tr>
    </w:tbl>
    <w:p>
      <w:pPr>
        <w:pStyle w:val="Heading1"/>
      </w:pPr>
      <w:r>
        <w:t>RESIDUAL UNCERTAINTIES</w:t>
      </w:r>
    </w:p>
    <w:p>
      <w:pPr/>
      <w:r>
        <w:rPr>
          <w:i w:val="0"/>
        </w:rPr>
        <w:t>The Hebrew syntax of verse 4 is disputed, and several blemish terms in verses 18–20 cannot be mapped confidently onto modern diagnoses. Mansfield’s typology is retained where it illustrates representative holiness, but disability is not treated as sin, inferiority or covenant rejection.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